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color w:val="auto"/>
          <w:sz w:val="24"/>
          <w:highlight w:val="none"/>
        </w:rPr>
      </w:pPr>
    </w:p>
    <w:p>
      <w:pPr>
        <w:rPr>
          <w:rFonts w:hint="eastAsia" w:ascii="宋体" w:hAnsi="宋体"/>
          <w:color w:val="auto"/>
          <w:sz w:val="24"/>
          <w:highlight w:val="none"/>
        </w:rPr>
      </w:pPr>
      <w:r>
        <w:rPr>
          <w:rFonts w:hint="eastAsia" w:ascii="宋体" w:hAnsi="宋体"/>
          <w:color w:val="auto"/>
          <w:sz w:val="24"/>
          <w:highlight w:val="none"/>
        </w:rPr>
        <w:t>附件</w:t>
      </w:r>
      <w:r>
        <w:rPr>
          <w:rFonts w:hint="eastAsia" w:ascii="宋体" w:hAnsi="宋体"/>
          <w:color w:val="auto"/>
          <w:sz w:val="24"/>
          <w:highlight w:val="none"/>
          <w:lang w:val="en-US" w:eastAsia="zh-CN"/>
        </w:rPr>
        <w:t>5</w:t>
      </w:r>
      <w:r>
        <w:rPr>
          <w:rFonts w:hint="eastAsia" w:ascii="宋体" w:hAnsi="宋体"/>
          <w:color w:val="auto"/>
          <w:sz w:val="24"/>
          <w:highlight w:val="none"/>
        </w:rPr>
        <w:t>：绍兴第二医院医共体及柯桥区妇保院中药饮片及颗粒采购项目报价表</w:t>
      </w:r>
    </w:p>
    <w:p>
      <w:pPr>
        <w:rPr>
          <w:rFonts w:hint="eastAsia" w:ascii="宋体" w:hAnsi="宋体"/>
          <w:color w:val="auto"/>
          <w:sz w:val="24"/>
          <w:highlight w:val="none"/>
        </w:rPr>
      </w:pPr>
    </w:p>
    <w:tbl>
      <w:tblPr>
        <w:tblStyle w:val="7"/>
        <w:tblW w:w="852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539"/>
        <w:gridCol w:w="1796"/>
        <w:gridCol w:w="860"/>
        <w:gridCol w:w="470"/>
        <w:gridCol w:w="3652"/>
        <w:gridCol w:w="121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40" w:hRule="atLeast"/>
        </w:trPr>
        <w:tc>
          <w:tcPr>
            <w:tcW w:w="539" w:type="dxa"/>
            <w:tcBorders>
              <w:top w:val="single" w:color="auto" w:sz="4" w:space="0"/>
              <w:left w:val="single" w:color="auto" w:sz="4" w:space="0"/>
              <w:bottom w:val="single" w:color="auto" w:sz="4" w:space="0"/>
              <w:right w:val="single" w:color="auto" w:sz="4" w:space="0"/>
            </w:tcBorders>
            <w:shd w:val="clear" w:color="auto" w:fill="FFFFFF"/>
            <w:tcMar>
              <w:left w:w="70" w:type="dxa"/>
              <w:right w:w="70" w:type="dxa"/>
            </w:tcMar>
            <w:vAlign w:val="center"/>
          </w:tcPr>
          <w:p>
            <w:pPr>
              <w:rPr>
                <w:rFonts w:hint="eastAsia" w:ascii="宋体" w:hAnsi="宋体"/>
                <w:color w:val="auto"/>
                <w:sz w:val="24"/>
                <w:highlight w:val="none"/>
              </w:rPr>
            </w:pPr>
            <w:r>
              <w:rPr>
                <w:rFonts w:hint="default" w:ascii="宋体" w:hAnsi="宋体"/>
                <w:color w:val="auto"/>
                <w:sz w:val="24"/>
                <w:highlight w:val="none"/>
              </w:rPr>
              <w:t>标项</w:t>
            </w:r>
          </w:p>
        </w:tc>
        <w:tc>
          <w:tcPr>
            <w:tcW w:w="1796" w:type="dxa"/>
            <w:tcBorders>
              <w:top w:val="single" w:color="auto" w:sz="4" w:space="0"/>
              <w:left w:val="nil"/>
              <w:bottom w:val="single" w:color="auto" w:sz="4" w:space="0"/>
              <w:right w:val="single" w:color="auto" w:sz="4" w:space="0"/>
            </w:tcBorders>
            <w:shd w:val="clear" w:color="auto" w:fill="FFFFFF"/>
            <w:tcMar>
              <w:left w:w="70" w:type="dxa"/>
              <w:right w:w="70" w:type="dxa"/>
            </w:tcMar>
            <w:vAlign w:val="center"/>
          </w:tcPr>
          <w:p>
            <w:pPr>
              <w:rPr>
                <w:rFonts w:hint="eastAsia" w:ascii="宋体" w:hAnsi="宋体"/>
                <w:color w:val="auto"/>
                <w:sz w:val="24"/>
                <w:highlight w:val="none"/>
              </w:rPr>
            </w:pPr>
            <w:r>
              <w:rPr>
                <w:rFonts w:hint="default" w:ascii="宋体" w:hAnsi="宋体"/>
                <w:color w:val="auto"/>
                <w:sz w:val="24"/>
                <w:highlight w:val="none"/>
              </w:rPr>
              <w:t>采购项目名称</w:t>
            </w:r>
          </w:p>
        </w:tc>
        <w:tc>
          <w:tcPr>
            <w:tcW w:w="860" w:type="dxa"/>
            <w:tcBorders>
              <w:top w:val="single" w:color="auto" w:sz="4" w:space="0"/>
              <w:left w:val="nil"/>
              <w:bottom w:val="single" w:color="auto" w:sz="4" w:space="0"/>
              <w:right w:val="single" w:color="auto" w:sz="4" w:space="0"/>
            </w:tcBorders>
            <w:shd w:val="clear" w:color="auto" w:fill="FFFFFF"/>
            <w:tcMar>
              <w:left w:w="70" w:type="dxa"/>
              <w:right w:w="70" w:type="dxa"/>
            </w:tcMar>
            <w:vAlign w:val="center"/>
          </w:tcPr>
          <w:p>
            <w:pPr>
              <w:rPr>
                <w:rFonts w:hint="eastAsia" w:ascii="宋体" w:hAnsi="宋体"/>
                <w:color w:val="auto"/>
                <w:sz w:val="24"/>
                <w:highlight w:val="none"/>
              </w:rPr>
            </w:pPr>
            <w:r>
              <w:rPr>
                <w:rFonts w:hint="default" w:ascii="宋体" w:hAnsi="宋体"/>
                <w:color w:val="auto"/>
                <w:sz w:val="24"/>
                <w:highlight w:val="none"/>
              </w:rPr>
              <w:t>预算金额</w:t>
            </w:r>
          </w:p>
          <w:p>
            <w:pPr>
              <w:rPr>
                <w:rFonts w:hint="eastAsia" w:ascii="宋体" w:hAnsi="宋体"/>
                <w:color w:val="auto"/>
                <w:sz w:val="24"/>
                <w:highlight w:val="none"/>
              </w:rPr>
            </w:pPr>
            <w:r>
              <w:rPr>
                <w:rFonts w:hint="default" w:ascii="宋体" w:hAnsi="宋体"/>
                <w:color w:val="auto"/>
                <w:sz w:val="24"/>
                <w:highlight w:val="none"/>
              </w:rPr>
              <w:t>（万元）</w:t>
            </w:r>
          </w:p>
        </w:tc>
        <w:tc>
          <w:tcPr>
            <w:tcW w:w="470" w:type="dxa"/>
            <w:tcBorders>
              <w:top w:val="single" w:color="auto" w:sz="4" w:space="0"/>
              <w:left w:val="nil"/>
              <w:bottom w:val="single" w:color="auto" w:sz="4" w:space="0"/>
              <w:right w:val="single" w:color="auto" w:sz="4" w:space="0"/>
            </w:tcBorders>
            <w:shd w:val="clear" w:color="auto" w:fill="FFFFFF"/>
            <w:tcMar>
              <w:left w:w="70" w:type="dxa"/>
              <w:right w:w="70" w:type="dxa"/>
            </w:tcMar>
            <w:vAlign w:val="center"/>
          </w:tcPr>
          <w:p>
            <w:pPr>
              <w:rPr>
                <w:rFonts w:hint="eastAsia" w:ascii="宋体" w:hAnsi="宋体"/>
                <w:color w:val="auto"/>
                <w:sz w:val="24"/>
                <w:highlight w:val="none"/>
              </w:rPr>
            </w:pPr>
            <w:r>
              <w:rPr>
                <w:rFonts w:hint="default" w:ascii="宋体" w:hAnsi="宋体"/>
                <w:color w:val="auto"/>
                <w:sz w:val="24"/>
                <w:highlight w:val="none"/>
              </w:rPr>
              <w:t>期限</w:t>
            </w:r>
          </w:p>
        </w:tc>
        <w:tc>
          <w:tcPr>
            <w:tcW w:w="3652" w:type="dxa"/>
            <w:tcBorders>
              <w:top w:val="single" w:color="auto" w:sz="4" w:space="0"/>
              <w:left w:val="nil"/>
              <w:bottom w:val="single" w:color="auto" w:sz="4" w:space="0"/>
              <w:right w:val="single" w:color="auto" w:sz="4" w:space="0"/>
            </w:tcBorders>
            <w:shd w:val="clear" w:color="auto" w:fill="FFFFFF"/>
            <w:tcMar>
              <w:left w:w="70" w:type="dxa"/>
              <w:right w:w="70" w:type="dxa"/>
            </w:tcMar>
            <w:vAlign w:val="center"/>
          </w:tcPr>
          <w:p>
            <w:pPr>
              <w:rPr>
                <w:rFonts w:hint="eastAsia" w:ascii="宋体" w:hAnsi="宋体"/>
                <w:color w:val="auto"/>
                <w:sz w:val="24"/>
                <w:highlight w:val="none"/>
              </w:rPr>
            </w:pPr>
            <w:r>
              <w:rPr>
                <w:rFonts w:hint="default" w:ascii="宋体" w:hAnsi="宋体"/>
                <w:color w:val="auto"/>
                <w:sz w:val="24"/>
                <w:highlight w:val="none"/>
              </w:rPr>
              <w:t>报价</w:t>
            </w:r>
          </w:p>
        </w:tc>
        <w:tc>
          <w:tcPr>
            <w:tcW w:w="1210" w:type="dxa"/>
            <w:tcBorders>
              <w:top w:val="single" w:color="auto" w:sz="4" w:space="0"/>
              <w:left w:val="nil"/>
              <w:bottom w:val="single" w:color="auto" w:sz="4" w:space="0"/>
              <w:right w:val="single" w:color="auto" w:sz="4" w:space="0"/>
            </w:tcBorders>
            <w:shd w:val="clear" w:color="auto" w:fill="FFFFFF"/>
            <w:tcMar>
              <w:left w:w="70" w:type="dxa"/>
              <w:right w:w="70" w:type="dxa"/>
            </w:tcMar>
            <w:vAlign w:val="center"/>
          </w:tcPr>
          <w:p>
            <w:pPr>
              <w:jc w:val="center"/>
              <w:rPr>
                <w:rFonts w:hint="default" w:ascii="宋体" w:hAnsi="宋体"/>
                <w:color w:val="auto"/>
                <w:sz w:val="24"/>
                <w:highlight w:val="none"/>
                <w:lang w:val="en-US" w:eastAsia="zh-CN"/>
              </w:rPr>
            </w:pPr>
            <w:r>
              <w:rPr>
                <w:rFonts w:hint="eastAsia" w:ascii="宋体" w:hAnsi="宋体"/>
                <w:color w:val="auto"/>
                <w:sz w:val="24"/>
                <w:highlight w:val="none"/>
                <w:lang w:val="en-US" w:eastAsia="zh-CN"/>
              </w:rPr>
              <w:t>备注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70" w:hRule="atLeast"/>
        </w:trPr>
        <w:tc>
          <w:tcPr>
            <w:tcW w:w="539" w:type="dxa"/>
            <w:tcBorders>
              <w:top w:val="nil"/>
              <w:left w:val="single" w:color="auto" w:sz="4" w:space="0"/>
              <w:bottom w:val="single" w:color="auto" w:sz="4" w:space="0"/>
              <w:right w:val="single" w:color="auto" w:sz="4" w:space="0"/>
            </w:tcBorders>
            <w:shd w:val="clear" w:color="auto" w:fill="FFFFFF"/>
            <w:tcMar>
              <w:left w:w="70" w:type="dxa"/>
              <w:right w:w="70" w:type="dxa"/>
            </w:tcMar>
            <w:vAlign w:val="center"/>
          </w:tcPr>
          <w:p>
            <w:pPr>
              <w:rPr>
                <w:rFonts w:hint="eastAsia" w:ascii="宋体" w:hAnsi="宋体"/>
                <w:color w:val="auto"/>
                <w:sz w:val="24"/>
                <w:highlight w:val="none"/>
              </w:rPr>
            </w:pPr>
            <w:r>
              <w:rPr>
                <w:rFonts w:hint="eastAsia" w:ascii="宋体" w:hAnsi="宋体"/>
                <w:color w:val="auto"/>
                <w:sz w:val="24"/>
                <w:highlight w:val="none"/>
              </w:rPr>
              <w:t>1</w:t>
            </w:r>
          </w:p>
        </w:tc>
        <w:tc>
          <w:tcPr>
            <w:tcW w:w="1796" w:type="dxa"/>
            <w:tcBorders>
              <w:top w:val="nil"/>
              <w:left w:val="nil"/>
              <w:bottom w:val="single" w:color="auto" w:sz="4" w:space="0"/>
              <w:right w:val="single" w:color="auto" w:sz="4" w:space="0"/>
            </w:tcBorders>
            <w:shd w:val="clear" w:color="auto" w:fill="FFFFFF"/>
            <w:tcMar>
              <w:left w:w="70" w:type="dxa"/>
              <w:right w:w="70" w:type="dxa"/>
            </w:tcMar>
            <w:vAlign w:val="top"/>
          </w:tcPr>
          <w:p>
            <w:pPr>
              <w:pStyle w:val="5"/>
              <w:widowControl/>
              <w:spacing w:beforeAutospacing="0" w:afterAutospacing="0" w:line="360" w:lineRule="auto"/>
              <w:ind w:left="0" w:leftChars="0" w:right="0" w:rightChars="0"/>
              <w:rPr>
                <w:rFonts w:hint="eastAsia" w:ascii="宋体" w:hAnsi="宋体"/>
                <w:color w:val="auto"/>
                <w:sz w:val="24"/>
                <w:highlight w:val="none"/>
              </w:rPr>
            </w:pPr>
            <w:r>
              <w:rPr>
                <w:rFonts w:hint="eastAsia" w:ascii="仿宋_GB2312" w:hAnsi="仿宋_GB2312" w:eastAsia="仿宋_GB2312" w:cs="仿宋_GB2312"/>
                <w:kern w:val="2"/>
                <w:sz w:val="24"/>
                <w:szCs w:val="22"/>
                <w:lang w:val="en-US" w:eastAsia="zh-CN" w:bidi="ar-SA"/>
              </w:rPr>
              <w:t>中药饮片项目及伴随服务</w:t>
            </w:r>
          </w:p>
        </w:tc>
        <w:tc>
          <w:tcPr>
            <w:tcW w:w="860" w:type="dxa"/>
            <w:tcBorders>
              <w:top w:val="nil"/>
              <w:left w:val="nil"/>
              <w:bottom w:val="single" w:color="auto" w:sz="4" w:space="0"/>
              <w:right w:val="single" w:color="auto" w:sz="4" w:space="0"/>
            </w:tcBorders>
            <w:shd w:val="clear" w:color="auto" w:fill="FFFFFF"/>
            <w:tcMar>
              <w:left w:w="70" w:type="dxa"/>
              <w:right w:w="70" w:type="dxa"/>
            </w:tcMar>
            <w:vAlign w:val="center"/>
          </w:tcPr>
          <w:p>
            <w:pPr>
              <w:rPr>
                <w:rFonts w:hint="default" w:ascii="宋体" w:hAnsi="宋体"/>
                <w:color w:val="auto"/>
                <w:sz w:val="24"/>
                <w:highlight w:val="none"/>
                <w:lang w:val="en-US" w:eastAsia="zh-CN"/>
              </w:rPr>
            </w:pPr>
            <w:r>
              <w:rPr>
                <w:rFonts w:hint="eastAsia" w:ascii="宋体" w:hAnsi="宋体"/>
                <w:color w:val="auto"/>
                <w:sz w:val="24"/>
                <w:highlight w:val="none"/>
                <w:lang w:val="en-US" w:eastAsia="zh-CN"/>
              </w:rPr>
              <w:t>5500</w:t>
            </w:r>
            <w:bookmarkStart w:id="0" w:name="_GoBack"/>
            <w:bookmarkEnd w:id="0"/>
          </w:p>
        </w:tc>
        <w:tc>
          <w:tcPr>
            <w:tcW w:w="470" w:type="dxa"/>
            <w:tcBorders>
              <w:top w:val="nil"/>
              <w:left w:val="nil"/>
              <w:bottom w:val="single" w:color="auto" w:sz="4" w:space="0"/>
              <w:right w:val="single" w:color="auto" w:sz="4" w:space="0"/>
            </w:tcBorders>
            <w:shd w:val="clear" w:color="auto" w:fill="FFFFFF"/>
            <w:tcMar>
              <w:left w:w="70" w:type="dxa"/>
              <w:right w:w="70" w:type="dxa"/>
            </w:tcMar>
            <w:vAlign w:val="center"/>
          </w:tcPr>
          <w:p>
            <w:pPr>
              <w:rPr>
                <w:rFonts w:hint="eastAsia" w:ascii="宋体" w:hAnsi="宋体"/>
                <w:color w:val="auto"/>
                <w:sz w:val="24"/>
                <w:highlight w:val="none"/>
              </w:rPr>
            </w:pPr>
            <w:r>
              <w:rPr>
                <w:rFonts w:hint="eastAsia" w:ascii="宋体" w:hAnsi="宋体"/>
                <w:color w:val="auto"/>
                <w:sz w:val="24"/>
                <w:highlight w:val="none"/>
              </w:rPr>
              <w:t>2年</w:t>
            </w:r>
          </w:p>
        </w:tc>
        <w:tc>
          <w:tcPr>
            <w:tcW w:w="3652" w:type="dxa"/>
            <w:tcBorders>
              <w:top w:val="nil"/>
              <w:left w:val="nil"/>
              <w:bottom w:val="single" w:color="auto" w:sz="4" w:space="0"/>
              <w:right w:val="single" w:color="auto" w:sz="4" w:space="0"/>
            </w:tcBorders>
            <w:shd w:val="clear" w:color="auto" w:fill="FFFFFF"/>
            <w:tcMar>
              <w:left w:w="70" w:type="dxa"/>
              <w:right w:w="70" w:type="dxa"/>
            </w:tcMar>
            <w:vAlign w:val="center"/>
          </w:tcPr>
          <w:p>
            <w:pPr>
              <w:rPr>
                <w:rFonts w:hint="eastAsia" w:ascii="宋体" w:hAnsi="宋体"/>
                <w:color w:val="auto"/>
                <w:sz w:val="24"/>
                <w:highlight w:val="none"/>
              </w:rPr>
            </w:pPr>
            <w:r>
              <w:rPr>
                <w:rFonts w:hint="eastAsia" w:ascii="宋体" w:hAnsi="宋体"/>
                <w:color w:val="auto"/>
                <w:sz w:val="24"/>
                <w:highlight w:val="none"/>
              </w:rPr>
              <w:t>本项目报价结合《绍市联委字（临）[2023]2号》、《绍药联委字（临）〔2024〕1号》联合发布的绍兴市中药饮片价格信息中现行供应价*1.25的</w:t>
            </w:r>
            <w:r>
              <w:rPr>
                <w:rFonts w:hint="eastAsia" w:ascii="宋体" w:hAnsi="宋体"/>
                <w:color w:val="auto"/>
                <w:sz w:val="24"/>
                <w:highlight w:val="none"/>
                <w:u w:val="single"/>
              </w:rPr>
              <w:t>   </w:t>
            </w:r>
            <w:r>
              <w:rPr>
                <w:rFonts w:hint="eastAsia" w:ascii="宋体" w:hAnsi="宋体"/>
                <w:color w:val="auto"/>
                <w:sz w:val="24"/>
                <w:highlight w:val="none"/>
              </w:rPr>
              <w:t xml:space="preserve"> %收取。</w:t>
            </w:r>
          </w:p>
        </w:tc>
        <w:tc>
          <w:tcPr>
            <w:tcW w:w="1210" w:type="dxa"/>
            <w:vMerge w:val="restart"/>
            <w:tcBorders>
              <w:top w:val="nil"/>
              <w:left w:val="nil"/>
              <w:right w:val="single" w:color="auto" w:sz="4" w:space="0"/>
            </w:tcBorders>
            <w:shd w:val="clear" w:color="auto" w:fill="FFFFFF"/>
            <w:tcMar>
              <w:left w:w="70" w:type="dxa"/>
              <w:right w:w="70" w:type="dxa"/>
            </w:tcMar>
            <w:vAlign w:val="center"/>
          </w:tcPr>
          <w:p>
            <w:pPr>
              <w:jc w:val="both"/>
              <w:rPr>
                <w:rFonts w:hint="eastAsia" w:ascii="宋体" w:hAnsi="宋体"/>
                <w:color w:val="auto"/>
                <w:sz w:val="24"/>
                <w:highlight w:val="none"/>
              </w:rPr>
            </w:pPr>
            <w:r>
              <w:rPr>
                <w:rFonts w:hint="eastAsia" w:ascii="宋体" w:hAnsi="宋体"/>
                <w:color w:val="auto"/>
                <w:sz w:val="24"/>
                <w:highlight w:val="none"/>
              </w:rPr>
              <w:t>采购期内，如遇上级中药饮片采购政策变化，则按上级政策执行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70" w:hRule="atLeast"/>
        </w:trPr>
        <w:tc>
          <w:tcPr>
            <w:tcW w:w="539" w:type="dxa"/>
            <w:tcBorders>
              <w:top w:val="nil"/>
              <w:left w:val="single" w:color="auto" w:sz="4" w:space="0"/>
              <w:bottom w:val="single" w:color="auto" w:sz="4" w:space="0"/>
              <w:right w:val="single" w:color="auto" w:sz="4" w:space="0"/>
            </w:tcBorders>
            <w:shd w:val="clear" w:color="auto" w:fill="FFFFFF"/>
            <w:tcMar>
              <w:left w:w="70" w:type="dxa"/>
              <w:right w:w="70" w:type="dxa"/>
            </w:tcMar>
            <w:vAlign w:val="center"/>
          </w:tcPr>
          <w:p>
            <w:pPr>
              <w:rPr>
                <w:rFonts w:hint="eastAsia" w:ascii="宋体" w:hAnsi="宋体"/>
                <w:color w:val="auto"/>
                <w:sz w:val="24"/>
                <w:highlight w:val="none"/>
              </w:rPr>
            </w:pPr>
            <w:r>
              <w:rPr>
                <w:rFonts w:hint="eastAsia" w:ascii="宋体" w:hAnsi="宋体"/>
                <w:color w:val="auto"/>
                <w:sz w:val="24"/>
                <w:highlight w:val="none"/>
              </w:rPr>
              <w:t>2</w:t>
            </w:r>
          </w:p>
        </w:tc>
        <w:tc>
          <w:tcPr>
            <w:tcW w:w="1796" w:type="dxa"/>
            <w:tcBorders>
              <w:top w:val="nil"/>
              <w:left w:val="nil"/>
              <w:bottom w:val="single" w:color="auto" w:sz="4" w:space="0"/>
              <w:right w:val="single" w:color="auto" w:sz="4" w:space="0"/>
            </w:tcBorders>
            <w:shd w:val="clear" w:color="auto" w:fill="FFFFFF"/>
            <w:tcMar>
              <w:left w:w="70" w:type="dxa"/>
              <w:right w:w="70" w:type="dxa"/>
            </w:tcMar>
            <w:vAlign w:val="top"/>
          </w:tcPr>
          <w:p>
            <w:pPr>
              <w:pStyle w:val="5"/>
              <w:widowControl/>
              <w:spacing w:beforeAutospacing="0" w:afterAutospacing="0" w:line="360" w:lineRule="auto"/>
              <w:ind w:left="0" w:leftChars="0" w:right="0" w:rightChars="0"/>
              <w:rPr>
                <w:rFonts w:hint="eastAsia" w:ascii="宋体" w:hAnsi="宋体"/>
                <w:color w:val="auto"/>
                <w:sz w:val="24"/>
                <w:highlight w:val="none"/>
              </w:rPr>
            </w:pPr>
            <w:r>
              <w:rPr>
                <w:rFonts w:hint="eastAsia" w:ascii="仿宋_GB2312" w:hAnsi="仿宋_GB2312" w:eastAsia="仿宋_GB2312" w:cs="仿宋_GB2312"/>
                <w:kern w:val="2"/>
                <w:sz w:val="24"/>
                <w:szCs w:val="22"/>
                <w:lang w:val="en-US" w:eastAsia="zh-CN" w:bidi="ar-SA"/>
              </w:rPr>
              <w:t>中药配方颗粒项目</w:t>
            </w:r>
          </w:p>
        </w:tc>
        <w:tc>
          <w:tcPr>
            <w:tcW w:w="860" w:type="dxa"/>
            <w:tcBorders>
              <w:top w:val="nil"/>
              <w:left w:val="nil"/>
              <w:bottom w:val="single" w:color="auto" w:sz="4" w:space="0"/>
              <w:right w:val="single" w:color="auto" w:sz="4" w:space="0"/>
            </w:tcBorders>
            <w:shd w:val="clear" w:color="auto" w:fill="FFFFFF"/>
            <w:tcMar>
              <w:left w:w="70" w:type="dxa"/>
              <w:right w:w="70" w:type="dxa"/>
            </w:tcMar>
            <w:vAlign w:val="center"/>
          </w:tcPr>
          <w:p>
            <w:pPr>
              <w:rPr>
                <w:rFonts w:hint="default" w:ascii="宋体" w:hAnsi="宋体" w:eastAsiaTheme="minorEastAsia"/>
                <w:color w:val="auto"/>
                <w:sz w:val="24"/>
                <w:highlight w:val="none"/>
                <w:lang w:val="en-US" w:eastAsia="zh-CN"/>
              </w:rPr>
            </w:pPr>
            <w:r>
              <w:rPr>
                <w:rFonts w:hint="eastAsia" w:ascii="宋体" w:hAnsi="宋体"/>
                <w:color w:val="auto"/>
                <w:sz w:val="24"/>
                <w:highlight w:val="none"/>
              </w:rPr>
              <w:t>6</w:t>
            </w:r>
            <w:r>
              <w:rPr>
                <w:rFonts w:hint="eastAsia" w:ascii="宋体" w:hAnsi="宋体"/>
                <w:color w:val="auto"/>
                <w:sz w:val="24"/>
                <w:highlight w:val="none"/>
                <w:lang w:val="en-US" w:eastAsia="zh-CN"/>
              </w:rPr>
              <w:t>75</w:t>
            </w:r>
          </w:p>
        </w:tc>
        <w:tc>
          <w:tcPr>
            <w:tcW w:w="470" w:type="dxa"/>
            <w:tcBorders>
              <w:top w:val="nil"/>
              <w:left w:val="nil"/>
              <w:bottom w:val="single" w:color="auto" w:sz="4" w:space="0"/>
              <w:right w:val="single" w:color="auto" w:sz="4" w:space="0"/>
            </w:tcBorders>
            <w:shd w:val="clear" w:color="auto" w:fill="FFFFFF"/>
            <w:tcMar>
              <w:left w:w="70" w:type="dxa"/>
              <w:right w:w="70" w:type="dxa"/>
            </w:tcMar>
            <w:vAlign w:val="center"/>
          </w:tcPr>
          <w:p>
            <w:pPr>
              <w:rPr>
                <w:rFonts w:hint="eastAsia" w:ascii="宋体" w:hAnsi="宋体"/>
                <w:color w:val="auto"/>
                <w:sz w:val="24"/>
                <w:highlight w:val="none"/>
              </w:rPr>
            </w:pPr>
            <w:r>
              <w:rPr>
                <w:rFonts w:hint="eastAsia" w:ascii="宋体" w:hAnsi="宋体"/>
                <w:color w:val="auto"/>
                <w:sz w:val="24"/>
                <w:highlight w:val="none"/>
              </w:rPr>
              <w:t>2年</w:t>
            </w:r>
          </w:p>
        </w:tc>
        <w:tc>
          <w:tcPr>
            <w:tcW w:w="3652" w:type="dxa"/>
            <w:tcBorders>
              <w:top w:val="nil"/>
              <w:left w:val="nil"/>
              <w:bottom w:val="single" w:color="auto" w:sz="4" w:space="0"/>
              <w:right w:val="single" w:color="auto" w:sz="4" w:space="0"/>
            </w:tcBorders>
            <w:shd w:val="clear" w:color="auto" w:fill="FFFFFF"/>
            <w:tcMar>
              <w:left w:w="70" w:type="dxa"/>
              <w:right w:w="70" w:type="dxa"/>
            </w:tcMar>
            <w:vAlign w:val="center"/>
          </w:tcPr>
          <w:p>
            <w:pPr>
              <w:rPr>
                <w:rFonts w:hint="eastAsia" w:ascii="宋体" w:hAnsi="宋体"/>
                <w:color w:val="auto"/>
                <w:sz w:val="24"/>
                <w:highlight w:val="none"/>
              </w:rPr>
            </w:pPr>
            <w:r>
              <w:rPr>
                <w:rFonts w:hint="eastAsia" w:ascii="宋体" w:hAnsi="宋体"/>
                <w:color w:val="auto"/>
                <w:sz w:val="24"/>
                <w:highlight w:val="none"/>
              </w:rPr>
              <w:t>本项目报价结合《绍市联委字（临）[2023]3号》联合发布的绍兴市中药配方颗粒价格信息中现行供应价*1.25</w:t>
            </w:r>
            <w:r>
              <w:rPr>
                <w:rFonts w:hint="eastAsia" w:ascii="宋体" w:hAnsi="宋体"/>
                <w:color w:val="auto"/>
                <w:sz w:val="24"/>
                <w:highlight w:val="none"/>
                <w:lang w:val="en-US" w:eastAsia="zh-CN"/>
              </w:rPr>
              <w:t>的</w:t>
            </w:r>
            <w:r>
              <w:rPr>
                <w:rFonts w:hint="eastAsia" w:ascii="宋体" w:hAnsi="宋体"/>
                <w:color w:val="auto"/>
                <w:sz w:val="24"/>
                <w:highlight w:val="none"/>
                <w:u w:val="single"/>
              </w:rPr>
              <w:t>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%收取。</w:t>
            </w:r>
          </w:p>
        </w:tc>
        <w:tc>
          <w:tcPr>
            <w:tcW w:w="1210" w:type="dxa"/>
            <w:vMerge w:val="continue"/>
            <w:tcBorders>
              <w:left w:val="nil"/>
              <w:bottom w:val="single" w:color="auto" w:sz="4" w:space="0"/>
              <w:right w:val="single" w:color="auto" w:sz="4" w:space="0"/>
            </w:tcBorders>
            <w:shd w:val="clear" w:color="auto" w:fill="FFFFFF"/>
            <w:tcMar>
              <w:left w:w="70" w:type="dxa"/>
              <w:right w:w="70" w:type="dxa"/>
            </w:tcMar>
            <w:vAlign w:val="center"/>
          </w:tcPr>
          <w:p>
            <w:pPr>
              <w:rPr>
                <w:rFonts w:hint="eastAsia" w:ascii="宋体" w:hAnsi="宋体"/>
                <w:color w:val="auto"/>
                <w:sz w:val="24"/>
                <w:highlight w:val="none"/>
              </w:rPr>
            </w:pPr>
          </w:p>
        </w:tc>
      </w:tr>
    </w:tbl>
    <w:p>
      <w:pPr>
        <w:pStyle w:val="5"/>
        <w:widowControl/>
        <w:spacing w:beforeAutospacing="0" w:afterAutospacing="0" w:line="360" w:lineRule="auto"/>
        <w:ind w:left="0" w:leftChars="0" w:right="0" w:rightChars="0"/>
        <w:jc w:val="left"/>
        <w:rPr>
          <w:rFonts w:hint="eastAsia" w:ascii="仿宋_GB2312" w:hAnsi="仿宋_GB2312" w:eastAsia="仿宋_GB2312" w:cs="仿宋_GB2312"/>
          <w:kern w:val="2"/>
          <w:sz w:val="24"/>
          <w:szCs w:val="22"/>
          <w:lang w:val="en-US" w:eastAsia="zh-CN" w:bidi="ar-SA"/>
        </w:rPr>
      </w:pPr>
      <w:r>
        <w:rPr>
          <w:rFonts w:hint="default" w:ascii="仿宋_GB2312" w:hAnsi="仿宋_GB2312" w:eastAsia="仿宋_GB2312" w:cs="仿宋_GB2312"/>
          <w:kern w:val="2"/>
          <w:sz w:val="24"/>
          <w:szCs w:val="22"/>
          <w:lang w:val="en-US" w:eastAsia="zh-CN" w:bidi="ar-SA"/>
        </w:rPr>
        <w:t>备注：</w:t>
      </w:r>
      <w:r>
        <w:rPr>
          <w:rFonts w:hint="eastAsia" w:ascii="仿宋_GB2312" w:hAnsi="仿宋_GB2312" w:eastAsia="仿宋_GB2312" w:cs="仿宋_GB2312"/>
          <w:kern w:val="2"/>
          <w:sz w:val="24"/>
          <w:szCs w:val="22"/>
          <w:lang w:val="en-US" w:eastAsia="zh-CN" w:bidi="ar-SA"/>
        </w:rPr>
        <w:t>最多保留小数点后两位 </w:t>
      </w:r>
    </w:p>
    <w:p>
      <w:pPr>
        <w:pStyle w:val="5"/>
        <w:widowControl/>
        <w:spacing w:beforeAutospacing="0" w:afterAutospacing="0" w:line="360" w:lineRule="auto"/>
        <w:ind w:left="0" w:leftChars="0" w:right="0" w:rightChars="0"/>
        <w:jc w:val="left"/>
        <w:rPr>
          <w:rFonts w:hint="eastAsia" w:ascii="仿宋_GB2312" w:hAnsi="仿宋_GB2312" w:eastAsia="仿宋_GB2312" w:cs="仿宋_GB2312"/>
          <w:kern w:val="2"/>
          <w:sz w:val="24"/>
          <w:szCs w:val="22"/>
          <w:lang w:val="en-US" w:eastAsia="zh-CN" w:bidi="ar-SA"/>
        </w:rPr>
      </w:pPr>
    </w:p>
    <w:p>
      <w:pPr>
        <w:pStyle w:val="5"/>
        <w:widowControl/>
        <w:spacing w:beforeAutospacing="0" w:afterAutospacing="0" w:line="360" w:lineRule="auto"/>
        <w:ind w:left="0" w:leftChars="0" w:right="0" w:rightChars="0"/>
        <w:jc w:val="left"/>
        <w:rPr>
          <w:rFonts w:hint="eastAsia" w:ascii="仿宋_GB2312" w:hAnsi="仿宋_GB2312" w:eastAsia="仿宋_GB2312" w:cs="仿宋_GB2312"/>
          <w:kern w:val="2"/>
          <w:sz w:val="24"/>
          <w:szCs w:val="22"/>
          <w:lang w:val="en-US" w:eastAsia="zh-CN" w:bidi="ar-SA"/>
        </w:rPr>
      </w:pPr>
    </w:p>
    <w:p>
      <w:pPr>
        <w:wordWrap w:val="0"/>
        <w:jc w:val="center"/>
        <w:rPr>
          <w:rFonts w:hint="eastAsia" w:ascii="宋体" w:hAnsi="宋体"/>
          <w:color w:val="auto"/>
          <w:sz w:val="24"/>
          <w:highlight w:val="none"/>
          <w:lang w:val="en-US" w:eastAsia="zh-CN"/>
        </w:rPr>
      </w:pPr>
      <w:r>
        <w:rPr>
          <w:rFonts w:hint="eastAsia" w:ascii="宋体" w:hAnsi="宋体"/>
          <w:color w:val="auto"/>
          <w:sz w:val="24"/>
          <w:highlight w:val="none"/>
        </w:rPr>
        <w:t>供应商（盖章）：</w:t>
      </w:r>
      <w:r>
        <w:rPr>
          <w:rFonts w:hint="eastAsia" w:ascii="宋体" w:hAnsi="宋体"/>
          <w:color w:val="auto"/>
          <w:sz w:val="24"/>
          <w:highlight w:val="none"/>
          <w:lang w:val="en-US" w:eastAsia="zh-CN"/>
        </w:rPr>
        <w:t xml:space="preserve">         </w:t>
      </w:r>
    </w:p>
    <w:p>
      <w:pPr>
        <w:wordWrap w:val="0"/>
        <w:jc w:val="right"/>
        <w:rPr>
          <w:rFonts w:hint="default" w:ascii="宋体" w:hAnsi="宋体" w:eastAsiaTheme="minorEastAsia"/>
          <w:color w:val="auto"/>
          <w:sz w:val="24"/>
          <w:highlight w:val="none"/>
          <w:lang w:val="en-US" w:eastAsia="zh-CN"/>
        </w:rPr>
      </w:pPr>
      <w:r>
        <w:rPr>
          <w:rFonts w:hint="eastAsia" w:ascii="宋体" w:hAnsi="宋体"/>
          <w:color w:val="auto"/>
          <w:sz w:val="24"/>
          <w:highlight w:val="none"/>
          <w:lang w:val="en-US" w:eastAsia="zh-CN"/>
        </w:rPr>
        <w:t xml:space="preserve">    </w:t>
      </w:r>
    </w:p>
    <w:p>
      <w:pPr>
        <w:jc w:val="center"/>
        <w:rPr>
          <w:rFonts w:hint="eastAsia" w:ascii="宋体" w:hAnsi="宋体"/>
          <w:color w:val="auto"/>
          <w:sz w:val="24"/>
          <w:highlight w:val="none"/>
        </w:rPr>
      </w:pPr>
      <w:r>
        <w:rPr>
          <w:rFonts w:hint="eastAsia" w:ascii="宋体" w:hAnsi="宋体"/>
          <w:color w:val="auto"/>
          <w:sz w:val="24"/>
          <w:highlight w:val="none"/>
          <w:lang w:val="en-US" w:eastAsia="zh-CN"/>
        </w:rPr>
        <w:t xml:space="preserve">              </w:t>
      </w:r>
      <w:r>
        <w:rPr>
          <w:rFonts w:hint="eastAsia" w:ascii="宋体" w:hAnsi="宋体"/>
          <w:color w:val="auto"/>
          <w:sz w:val="24"/>
          <w:highlight w:val="none"/>
        </w:rPr>
        <w:t>法定代表人或其委托代理人（签字或盖章）：</w:t>
      </w:r>
    </w:p>
    <w:p>
      <w:pPr>
        <w:ind w:right="33"/>
        <w:jc w:val="right"/>
        <w:rPr>
          <w:rFonts w:hint="eastAsia" w:ascii="宋体" w:hAnsi="宋体"/>
          <w:color w:val="auto"/>
          <w:sz w:val="24"/>
          <w:highlight w:val="none"/>
        </w:rPr>
      </w:pPr>
    </w:p>
    <w:p>
      <w:pPr>
        <w:jc w:val="right"/>
        <w:rPr>
          <w:rFonts w:hint="eastAsia" w:ascii="宋体" w:hAnsi="宋体"/>
          <w:color w:val="auto"/>
          <w:sz w:val="24"/>
          <w:highlight w:val="none"/>
        </w:rPr>
        <w:sectPr>
          <w:pgSz w:w="11907" w:h="16840"/>
          <w:pgMar w:top="1440" w:right="1797" w:bottom="1440" w:left="1797" w:header="680" w:footer="680" w:gutter="0"/>
          <w:pgNumType w:fmt="decimal"/>
          <w:cols w:space="720" w:num="1"/>
          <w:docGrid w:linePitch="286" w:charSpace="0"/>
        </w:sectPr>
      </w:pPr>
      <w:r>
        <w:rPr>
          <w:rFonts w:hint="eastAsia" w:ascii="宋体" w:hAnsi="宋体"/>
          <w:color w:val="auto"/>
          <w:sz w:val="24"/>
          <w:highlight w:val="none"/>
        </w:rPr>
        <w:t>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NjYjI2Nzc3M2NmMzdjNDE5OTYxOWIwODQyYjMyMDUifQ=="/>
  </w:docVars>
  <w:rsids>
    <w:rsidRoot w:val="475B0E91"/>
    <w:rsid w:val="057D5E79"/>
    <w:rsid w:val="16A94CB5"/>
    <w:rsid w:val="21E4227A"/>
    <w:rsid w:val="475B0E91"/>
    <w:rsid w:val="527917CE"/>
    <w:rsid w:val="66510FA4"/>
    <w:rsid w:val="67897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widowControl/>
      <w:spacing w:before="240" w:after="60"/>
      <w:jc w:val="center"/>
      <w:outlineLvl w:val="0"/>
    </w:pPr>
    <w:rPr>
      <w:rFonts w:ascii="Arial" w:hAnsi="Arial"/>
      <w:bCs/>
      <w:kern w:val="28"/>
      <w:sz w:val="44"/>
      <w:szCs w:val="20"/>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99"/>
    <w:pPr>
      <w:spacing w:line="360" w:lineRule="auto"/>
      <w:ind w:firstLine="480" w:firstLineChars="200"/>
    </w:pPr>
    <w:rPr>
      <w:sz w:val="24"/>
      <w:szCs w:val="22"/>
      <w:lang w:val="zh-CN"/>
    </w:rPr>
  </w:style>
  <w:style w:type="paragraph" w:styleId="4">
    <w:name w:val="Body Text Indent"/>
    <w:basedOn w:val="1"/>
    <w:next w:val="1"/>
    <w:qFormat/>
    <w:uiPriority w:val="0"/>
    <w:pPr>
      <w:spacing w:line="380" w:lineRule="exact"/>
      <w:ind w:firstLine="480"/>
    </w:pPr>
    <w:rPr>
      <w:rFonts w:eastAsia="方正书宋简体"/>
      <w:sz w:val="20"/>
      <w:szCs w:val="20"/>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paragraph" w:styleId="6">
    <w:name w:val="Body Text First Indent 2"/>
    <w:basedOn w:val="4"/>
    <w:qFormat/>
    <w:uiPriority w:val="0"/>
    <w:pPr>
      <w:tabs>
        <w:tab w:val="left" w:pos="0"/>
        <w:tab w:val="left" w:pos="993"/>
        <w:tab w:val="left" w:pos="1134"/>
      </w:tabs>
      <w:autoSpaceDE/>
      <w:autoSpaceDN/>
      <w:adjustRightInd/>
      <w:spacing w:line="360" w:lineRule="auto"/>
      <w:ind w:firstLine="420" w:firstLineChars="200"/>
    </w:pPr>
    <w:rPr>
      <w:rFonts w:ascii="Calibri" w:hAnsi="Calibri"/>
      <w:color w:val="auto"/>
      <w:kern w:val="2"/>
      <w:sz w:val="24"/>
      <w:szCs w:val="22"/>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553</Words>
  <Characters>599</Characters>
  <Lines>0</Lines>
  <Paragraphs>0</Paragraphs>
  <TotalTime>1</TotalTime>
  <ScaleCrop>false</ScaleCrop>
  <LinksUpToDate>false</LinksUpToDate>
  <CharactersWithSpaces>862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2025-01-23T03:10:00Z</dcterms:created>
  <dc:creator>charming</dc:creator>
  <cp:lastModifiedBy>石文龙</cp:lastModifiedBy>
  <dcterms:modified xsi:type="dcterms:W3CDTF">2026-02-09T00:47:51Z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4B8323CFD1E4426C9A20B17C2AEF3494</vt:lpwstr>
  </property>
  <property fmtid="{D5CDD505-2E9C-101B-9397-08002B2CF9AE}" pid="4" name="KSOTemplateDocerSaveRecord">
    <vt:lpwstr>eyJoZGlkIjoiZTAwOWI5M2RkMmE5YjI1NWQwZGM3MjFkZWRmZGIzOTciLCJ1c2VySWQiOiI0MDE5MDA0NDkifQ==</vt:lpwstr>
  </property>
</Properties>
</file>