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410" w:firstLineChars="600"/>
        <w:rPr>
          <w:rFonts w:hint="eastAsia" w:ascii="仿宋" w:hAnsi="仿宋" w:eastAsia="仿宋" w:cs="仿宋"/>
          <w:b/>
          <w:bCs/>
          <w:color w:val="auto"/>
          <w:spacing w:val="-3"/>
          <w:sz w:val="24"/>
          <w:lang w:val="en-US" w:eastAsia="zh-CN"/>
        </w:rPr>
      </w:pPr>
      <w:r>
        <w:rPr>
          <w:rFonts w:hint="eastAsia" w:ascii="仿宋" w:hAnsi="仿宋" w:eastAsia="仿宋" w:cs="仿宋"/>
          <w:b/>
          <w:bCs/>
          <w:color w:val="auto"/>
          <w:spacing w:val="-3"/>
          <w:sz w:val="24"/>
          <w:lang w:val="en-US" w:eastAsia="zh-CN"/>
        </w:rPr>
        <w:t>绍兴第二医院医共体总院精准医学中心运行服务项目采购需求</w:t>
      </w:r>
    </w:p>
    <w:p>
      <w:pPr>
        <w:pStyle w:val="2"/>
        <w:rPr>
          <w:rFonts w:hint="default"/>
          <w:lang w:val="en-US" w:eastAsia="zh-CN"/>
        </w:rPr>
      </w:pPr>
    </w:p>
    <w:p>
      <w:pPr>
        <w:spacing w:line="360" w:lineRule="auto"/>
        <w:rPr>
          <w:rFonts w:ascii="仿宋" w:hAnsi="仿宋" w:eastAsia="仿宋" w:cs="仿宋"/>
          <w:b/>
          <w:bCs/>
          <w:color w:val="auto"/>
          <w:spacing w:val="-3"/>
          <w:sz w:val="24"/>
        </w:rPr>
      </w:pPr>
      <w:r>
        <w:rPr>
          <w:rFonts w:hint="eastAsia" w:ascii="仿宋" w:hAnsi="仿宋" w:eastAsia="仿宋" w:cs="仿宋"/>
          <w:b/>
          <w:bCs/>
          <w:color w:val="auto"/>
          <w:spacing w:val="-3"/>
          <w:sz w:val="24"/>
          <w:lang w:val="en-US" w:eastAsia="zh-CN"/>
        </w:rPr>
        <w:t>一</w:t>
      </w:r>
      <w:r>
        <w:rPr>
          <w:rFonts w:hint="eastAsia" w:ascii="仿宋" w:hAnsi="仿宋" w:eastAsia="仿宋" w:cs="仿宋"/>
          <w:b/>
          <w:bCs/>
          <w:color w:val="auto"/>
          <w:spacing w:val="-3"/>
          <w:sz w:val="24"/>
        </w:rPr>
        <w:t>、服务要求和内容</w:t>
      </w:r>
    </w:p>
    <w:p>
      <w:pPr>
        <w:spacing w:line="360" w:lineRule="auto"/>
        <w:rPr>
          <w:rFonts w:ascii="仿宋" w:hAnsi="仿宋" w:eastAsia="仿宋" w:cs="仿宋"/>
          <w:color w:val="auto"/>
          <w:spacing w:val="-3"/>
          <w:sz w:val="24"/>
        </w:rPr>
      </w:pPr>
      <w:r>
        <w:rPr>
          <w:rFonts w:hint="eastAsia" w:ascii="仿宋" w:hAnsi="仿宋" w:eastAsia="仿宋" w:cs="仿宋"/>
          <w:color w:val="auto"/>
          <w:spacing w:val="-3"/>
          <w:sz w:val="24"/>
        </w:rPr>
        <w:t>（一）服务要求</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1、投标人所提供的产品必须符合国家有关的质量标准及相应的行业标准，且系国家有关部门批准许可生产或许可销售的合格产品。如因试剂无证被查或套条码收费检测被查，所产生的一切后果及损失，</w:t>
      </w:r>
      <w:r>
        <w:rPr>
          <w:rFonts w:hint="eastAsia" w:ascii="仿宋" w:hAnsi="仿宋" w:eastAsia="仿宋" w:cs="仿宋"/>
          <w:color w:val="FF0000"/>
          <w:sz w:val="24"/>
          <w:lang w:val="en-US" w:eastAsia="zh-CN"/>
        </w:rPr>
        <w:t>原则上</w:t>
      </w:r>
      <w:r>
        <w:rPr>
          <w:rFonts w:hint="eastAsia" w:ascii="仿宋" w:hAnsi="仿宋" w:eastAsia="仿宋" w:cs="仿宋"/>
          <w:color w:val="auto"/>
          <w:sz w:val="24"/>
        </w:rPr>
        <w:t>由中标人承担。</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2、中标人对采购人不明原因引起的医疗投诉，能协助采购人做好患者的协调工作，</w:t>
      </w:r>
      <w:r>
        <w:rPr>
          <w:rFonts w:hint="eastAsia" w:ascii="仿宋" w:hAnsi="仿宋" w:eastAsia="仿宋" w:cs="仿宋"/>
          <w:color w:val="FF0000"/>
          <w:sz w:val="24"/>
        </w:rPr>
        <w:t>并承担相关的处理和赔偿费用。</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3、协议期内，由于代理权限的转移或者公司注销等原因，中标人应以书面的形式说明原因并协助医院做好产品的延续工作，同时采购人有权重新确定新的供应商。</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4.合同期内如遇上级部门集中采购、组织开展联合采购或其他有关政策，与合同条款或合同供应模式发生冲突的，则医院有权单方解除合同，不视为医院违约，且双方互不承担责任。</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5.合同期:</w:t>
      </w:r>
      <w:r>
        <w:rPr>
          <w:rFonts w:hint="eastAsia" w:ascii="仿宋" w:hAnsi="仿宋" w:eastAsia="仿宋" w:cs="仿宋"/>
          <w:color w:val="FF0000"/>
          <w:sz w:val="24"/>
          <w:lang w:val="en-US" w:eastAsia="zh-CN"/>
        </w:rPr>
        <w:t>3</w:t>
      </w:r>
      <w:r>
        <w:rPr>
          <w:rFonts w:hint="eastAsia" w:ascii="仿宋" w:hAnsi="仿宋" w:eastAsia="仿宋" w:cs="仿宋"/>
          <w:color w:val="auto"/>
          <w:sz w:val="24"/>
        </w:rPr>
        <w:t>年。若在合同期内中标人不能正常履约的，医院重新组织招标，并没收供应商</w:t>
      </w:r>
      <w:r>
        <w:rPr>
          <w:rFonts w:hint="eastAsia" w:ascii="仿宋" w:hAnsi="仿宋" w:eastAsia="仿宋" w:cs="仿宋"/>
          <w:color w:val="FF0000"/>
          <w:sz w:val="24"/>
        </w:rPr>
        <w:t>履约保证金</w:t>
      </w:r>
      <w:r>
        <w:rPr>
          <w:rFonts w:hint="eastAsia" w:ascii="仿宋" w:hAnsi="仿宋" w:eastAsia="仿宋" w:cs="仿宋"/>
          <w:color w:val="auto"/>
          <w:sz w:val="24"/>
        </w:rPr>
        <w:t>（中标人需在签约前缴纳中标金额</w:t>
      </w:r>
      <w:r>
        <w:rPr>
          <w:rFonts w:hint="eastAsia" w:ascii="仿宋" w:hAnsi="仿宋" w:eastAsia="仿宋" w:cs="仿宋"/>
          <w:color w:val="auto"/>
          <w:sz w:val="24"/>
          <w:lang w:val="en-US" w:eastAsia="zh-CN"/>
        </w:rPr>
        <w:t>0.5</w:t>
      </w:r>
      <w:r>
        <w:rPr>
          <w:rFonts w:hint="eastAsia" w:ascii="仿宋" w:hAnsi="仿宋" w:eastAsia="仿宋" w:cs="仿宋"/>
          <w:color w:val="auto"/>
          <w:sz w:val="24"/>
        </w:rPr>
        <w:t>%的履约保证金）。合同到期后，重新组织招标，原中标人如未中标，需在规定的时间内</w:t>
      </w:r>
      <w:r>
        <w:rPr>
          <w:rFonts w:hint="eastAsia" w:ascii="仿宋" w:hAnsi="仿宋" w:eastAsia="仿宋" w:cs="仿宋"/>
          <w:color w:val="auto"/>
          <w:sz w:val="24"/>
          <w:lang w:val="en-US" w:eastAsia="zh-CN"/>
        </w:rPr>
        <w:t>运</w:t>
      </w:r>
      <w:r>
        <w:rPr>
          <w:rFonts w:hint="eastAsia" w:ascii="仿宋" w:hAnsi="仿宋" w:eastAsia="仿宋" w:cs="仿宋"/>
          <w:color w:val="auto"/>
          <w:sz w:val="24"/>
        </w:rPr>
        <w:t>走其所属设备，逾期未取回的，采购人不负保管义务。</w:t>
      </w:r>
    </w:p>
    <w:p>
      <w:pPr>
        <w:pStyle w:val="5"/>
        <w:ind w:left="0" w:leftChars="0" w:firstLine="48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6.中标人需遵守保密制度，保护受检者的秘密，未经许可，不得向无关人员泄露受检者的检测情况。</w:t>
      </w:r>
      <w:r>
        <w:rPr>
          <w:rFonts w:hint="eastAsia" w:ascii="仿宋" w:hAnsi="仿宋" w:eastAsia="仿宋" w:cs="仿宋"/>
          <w:color w:val="000000" w:themeColor="text1"/>
          <w:sz w:val="24"/>
          <w:highlight w:val="none"/>
          <w:lang w:val="en-US" w:eastAsia="zh-CN"/>
          <w14:textFill>
            <w14:solidFill>
              <w14:schemeClr w14:val="tx1"/>
            </w14:solidFill>
          </w14:textFill>
        </w:rPr>
        <w:t>送检标本仅用于送检目的的特定用途，未经采购人同意，投标人不得挪用送检标本用于科研及其他用途；涉及遗传生物信息的标本，投标人需遵守《中华人民共和国人类遗传资源管理条例》，规范标本管理，保护患者隐私。</w:t>
      </w:r>
    </w:p>
    <w:p>
      <w:pPr>
        <w:pStyle w:val="5"/>
        <w:ind w:left="0" w:leftChars="0" w:firstLine="480"/>
        <w:rPr>
          <w:rFonts w:ascii="仿宋" w:hAnsi="仿宋" w:eastAsia="仿宋" w:cs="仿宋"/>
          <w:color w:val="auto"/>
          <w:sz w:val="24"/>
        </w:rPr>
      </w:pPr>
      <w:r>
        <w:rPr>
          <w:rFonts w:hint="eastAsia" w:ascii="仿宋" w:hAnsi="仿宋" w:eastAsia="仿宋" w:cs="仿宋"/>
          <w:color w:val="auto"/>
          <w:sz w:val="24"/>
        </w:rPr>
        <w:t>7.</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开展项目所需设备及试剂耗材等按医院要求统一管理。</w:t>
      </w:r>
    </w:p>
    <w:p>
      <w:pPr>
        <w:tabs>
          <w:tab w:val="left" w:pos="1440"/>
        </w:tabs>
        <w:spacing w:line="360" w:lineRule="auto"/>
        <w:rPr>
          <w:rFonts w:ascii="仿宋" w:hAnsi="仿宋" w:eastAsia="仿宋" w:cs="仿宋"/>
          <w:color w:val="auto"/>
          <w:sz w:val="24"/>
        </w:rPr>
      </w:pPr>
      <w:r>
        <w:rPr>
          <w:rFonts w:hint="eastAsia" w:ascii="仿宋" w:hAnsi="仿宋" w:eastAsia="仿宋" w:cs="仿宋"/>
          <w:color w:val="auto"/>
          <w:sz w:val="24"/>
        </w:rPr>
        <w:t>（二）服务内容</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供应商提供“精准</w:t>
      </w:r>
      <w:r>
        <w:rPr>
          <w:rFonts w:hint="eastAsia" w:ascii="仿宋" w:hAnsi="仿宋" w:eastAsia="仿宋" w:cs="仿宋"/>
          <w:color w:val="auto"/>
          <w:sz w:val="24"/>
          <w:lang w:val="en-US" w:eastAsia="zh-CN"/>
        </w:rPr>
        <w:t>医学</w:t>
      </w:r>
      <w:r>
        <w:rPr>
          <w:rFonts w:hint="eastAsia" w:ascii="仿宋" w:hAnsi="仿宋" w:eastAsia="仿宋" w:cs="仿宋"/>
          <w:color w:val="auto"/>
          <w:sz w:val="24"/>
        </w:rPr>
        <w:t>中心”平台的整体技术输出服务，包括但不限于：场地规划</w:t>
      </w:r>
      <w:r>
        <w:rPr>
          <w:rFonts w:hint="eastAsia" w:ascii="仿宋" w:hAnsi="仿宋" w:eastAsia="仿宋" w:cs="仿宋"/>
          <w:color w:val="000000" w:themeColor="text1"/>
          <w:sz w:val="24"/>
          <w14:textFill>
            <w14:solidFill>
              <w14:schemeClr w14:val="tx1"/>
            </w14:solidFill>
          </w14:textFill>
        </w:rPr>
        <w:t>设计</w:t>
      </w:r>
      <w:r>
        <w:rPr>
          <w:rFonts w:hint="eastAsia" w:ascii="仿宋" w:hAnsi="仿宋" w:eastAsia="仿宋" w:cs="仿宋"/>
          <w:color w:val="000000" w:themeColor="text1"/>
          <w:sz w:val="24"/>
          <w:lang w:val="en-US" w:eastAsia="zh-CN"/>
          <w14:textFill>
            <w14:solidFill>
              <w14:schemeClr w14:val="tx1"/>
            </w14:solidFill>
          </w14:textFill>
        </w:rPr>
        <w:t>与装修</w:t>
      </w:r>
      <w:r>
        <w:rPr>
          <w:rFonts w:hint="eastAsia" w:ascii="仿宋" w:hAnsi="仿宋" w:eastAsia="仿宋" w:cs="仿宋"/>
          <w:color w:val="auto"/>
          <w:sz w:val="24"/>
        </w:rPr>
        <w:t>、人员培训、质量体系建设、协助项目开展、技术与研发服务支持、科研合作、技术咨询等。具体内容如下：</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1场地规划与设计</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1.1由采购人负责提供符合“精准</w:t>
      </w:r>
      <w:r>
        <w:rPr>
          <w:rFonts w:hint="eastAsia" w:ascii="仿宋" w:hAnsi="仿宋" w:eastAsia="仿宋" w:cs="仿宋"/>
          <w:color w:val="auto"/>
          <w:sz w:val="24"/>
          <w:lang w:val="en-US" w:eastAsia="zh-CN"/>
        </w:rPr>
        <w:t>医学</w:t>
      </w:r>
      <w:r>
        <w:rPr>
          <w:rFonts w:hint="eastAsia" w:ascii="仿宋" w:hAnsi="仿宋" w:eastAsia="仿宋" w:cs="仿宋"/>
          <w:color w:val="auto"/>
          <w:sz w:val="24"/>
        </w:rPr>
        <w:t>中心”使用要求的场地和建筑图纸，并对中心电、水、网络、消防的现场实施及场地改建</w:t>
      </w:r>
      <w:r>
        <w:rPr>
          <w:rFonts w:hint="eastAsia" w:ascii="仿宋" w:hAnsi="仿宋" w:eastAsia="仿宋" w:cs="仿宋"/>
          <w:color w:val="FF0000"/>
          <w:sz w:val="24"/>
          <w:lang w:val="en-US" w:eastAsia="zh-CN"/>
        </w:rPr>
        <w:t>提供协助</w:t>
      </w:r>
      <w:r>
        <w:rPr>
          <w:rFonts w:hint="eastAsia" w:ascii="仿宋" w:hAnsi="仿宋" w:eastAsia="仿宋" w:cs="仿宋"/>
          <w:color w:val="auto"/>
          <w:sz w:val="24"/>
        </w:rPr>
        <w:t>。</w:t>
      </w:r>
    </w:p>
    <w:p>
      <w:pPr>
        <w:tabs>
          <w:tab w:val="left" w:pos="1440"/>
        </w:tabs>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1.2供应商根据采购人提供的场地建筑图纸，在符合实验室场地改造及满足生物安全需求的条件下</w:t>
      </w:r>
      <w:r>
        <w:rPr>
          <w:rFonts w:hint="eastAsia" w:ascii="仿宋" w:hAnsi="仿宋" w:eastAsia="仿宋" w:cs="仿宋"/>
          <w:color w:val="FF0000"/>
          <w:sz w:val="24"/>
        </w:rPr>
        <w:t>，提供场地规划</w:t>
      </w:r>
      <w:r>
        <w:rPr>
          <w:rFonts w:hint="eastAsia" w:ascii="仿宋" w:hAnsi="仿宋" w:eastAsia="仿宋" w:cs="仿宋"/>
          <w:color w:val="FF0000"/>
          <w:sz w:val="24"/>
          <w:lang w:eastAsia="zh-CN"/>
        </w:rPr>
        <w:t>、</w:t>
      </w:r>
      <w:r>
        <w:rPr>
          <w:rFonts w:hint="eastAsia" w:ascii="仿宋" w:hAnsi="仿宋" w:eastAsia="仿宋" w:cs="仿宋"/>
          <w:color w:val="FF0000"/>
          <w:sz w:val="24"/>
        </w:rPr>
        <w:t>设计及品牌策划</w:t>
      </w:r>
      <w:r>
        <w:rPr>
          <w:rFonts w:hint="eastAsia" w:ascii="仿宋" w:hAnsi="仿宋" w:eastAsia="仿宋" w:cs="仿宋"/>
          <w:color w:val="FF0000"/>
          <w:sz w:val="24"/>
          <w:lang w:eastAsia="zh-CN"/>
        </w:rPr>
        <w:t>、</w:t>
      </w:r>
      <w:r>
        <w:rPr>
          <w:rFonts w:hint="eastAsia" w:ascii="仿宋" w:hAnsi="仿宋" w:eastAsia="仿宋" w:cs="仿宋"/>
          <w:color w:val="FF0000"/>
          <w:sz w:val="24"/>
          <w:lang w:val="en-US" w:eastAsia="zh-CN"/>
        </w:rPr>
        <w:t>装修</w:t>
      </w:r>
      <w:r>
        <w:rPr>
          <w:rFonts w:hint="eastAsia" w:ascii="仿宋" w:hAnsi="仿宋" w:eastAsia="仿宋" w:cs="仿宋"/>
          <w:color w:val="FF0000"/>
          <w:sz w:val="24"/>
        </w:rPr>
        <w:t>服务</w:t>
      </w:r>
      <w:r>
        <w:rPr>
          <w:rFonts w:hint="eastAsia" w:ascii="仿宋" w:hAnsi="仿宋" w:eastAsia="仿宋" w:cs="仿宋"/>
          <w:color w:val="auto"/>
          <w:sz w:val="24"/>
        </w:rPr>
        <w:t>。</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2设备与试剂</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2.1由中标人提供高通量测序技术平台、质谱等项目开展所需的设备（</w:t>
      </w:r>
      <w:r>
        <w:rPr>
          <w:rFonts w:hint="eastAsia" w:ascii="仿宋" w:hAnsi="仿宋" w:eastAsia="仿宋" w:cs="仿宋"/>
          <w:color w:val="FF0000"/>
          <w:sz w:val="24"/>
        </w:rPr>
        <w:t>详见附件 1</w:t>
      </w:r>
      <w:r>
        <w:rPr>
          <w:rFonts w:hint="eastAsia" w:ascii="仿宋" w:hAnsi="仿宋" w:eastAsia="仿宋" w:cs="仿宋"/>
          <w:color w:val="FF0000"/>
          <w:sz w:val="24"/>
          <w:lang w:eastAsia="zh-CN"/>
        </w:rPr>
        <w:t>、</w:t>
      </w:r>
      <w:r>
        <w:rPr>
          <w:rFonts w:hint="eastAsia" w:ascii="仿宋" w:hAnsi="仿宋" w:eastAsia="仿宋" w:cs="仿宋"/>
          <w:color w:val="FF0000"/>
          <w:sz w:val="24"/>
          <w:lang w:val="en-US" w:eastAsia="zh-CN"/>
        </w:rPr>
        <w:t>2</w:t>
      </w:r>
      <w:r>
        <w:rPr>
          <w:rFonts w:hint="eastAsia" w:ascii="仿宋" w:hAnsi="仿宋" w:eastAsia="仿宋" w:cs="仿宋"/>
          <w:color w:val="auto"/>
          <w:sz w:val="24"/>
        </w:rPr>
        <w:t>）以确保医院需要开展的相关项目能顺利开展，并在采购人规范管理下负责这些设备的维修保养、检定、校准等工作，保证日常工作正常开展。</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2.2中标人应协助采购人拟</w:t>
      </w:r>
      <w:r>
        <w:rPr>
          <w:rFonts w:hint="eastAsia" w:ascii="仿宋" w:hAnsi="仿宋" w:eastAsia="仿宋" w:cs="仿宋"/>
          <w:color w:val="auto"/>
          <w:sz w:val="24"/>
          <w:lang w:val="en-US" w:eastAsia="zh-CN"/>
        </w:rPr>
        <w:t>定</w:t>
      </w:r>
      <w:r>
        <w:rPr>
          <w:rFonts w:hint="eastAsia" w:ascii="仿宋" w:hAnsi="仿宋" w:eastAsia="仿宋" w:cs="仿宋"/>
          <w:color w:val="auto"/>
          <w:sz w:val="24"/>
        </w:rPr>
        <w:t>设备管理操作手册，并对设备操作人员培训上岗，以保证设备的使用、维护保养与校准等管理符合全面质量管理体系的要求。</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2.3中标人负责“精准</w:t>
      </w:r>
      <w:r>
        <w:rPr>
          <w:rFonts w:hint="eastAsia" w:ascii="仿宋" w:hAnsi="仿宋" w:eastAsia="仿宋" w:cs="仿宋"/>
          <w:color w:val="auto"/>
          <w:sz w:val="24"/>
          <w:lang w:val="en-US" w:eastAsia="zh-CN"/>
        </w:rPr>
        <w:t>医学</w:t>
      </w:r>
      <w:r>
        <w:rPr>
          <w:rFonts w:hint="eastAsia" w:ascii="仿宋" w:hAnsi="仿宋" w:eastAsia="仿宋" w:cs="仿宋"/>
          <w:color w:val="auto"/>
          <w:sz w:val="24"/>
        </w:rPr>
        <w:t>中心”开展项目所需耗材、试剂的管理和采购。中标人应确保技术平台相关试剂符合质量管理要求，满足仪器设备开展检测项目的要求。</w:t>
      </w:r>
      <w:r>
        <w:rPr>
          <w:rFonts w:hint="eastAsia" w:ascii="仿宋" w:hAnsi="仿宋" w:eastAsia="仿宋" w:cs="仿宋"/>
          <w:color w:val="auto"/>
          <w:sz w:val="24"/>
          <w:highlight w:val="none"/>
        </w:rPr>
        <w:t>相关试剂和</w:t>
      </w:r>
      <w:r>
        <w:rPr>
          <w:rFonts w:ascii="仿宋" w:hAnsi="仿宋" w:eastAsia="仿宋" w:cs="仿宋"/>
          <w:color w:val="auto"/>
          <w:sz w:val="24"/>
          <w:highlight w:val="none"/>
        </w:rPr>
        <w:t>耗材的验收、入库等按医院要求进行管理。</w:t>
      </w:r>
      <w:r>
        <w:rPr>
          <w:rFonts w:hint="eastAsia" w:ascii="仿宋" w:hAnsi="仿宋" w:eastAsia="仿宋" w:cs="仿宋"/>
          <w:color w:val="auto"/>
          <w:sz w:val="24"/>
        </w:rPr>
        <w:t>收费、出报告等流程要符合医院管理要求。</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3资质与质量体系</w:t>
      </w:r>
    </w:p>
    <w:p>
      <w:pPr>
        <w:spacing w:line="360" w:lineRule="auto"/>
        <w:ind w:firstLine="480"/>
        <w:rPr>
          <w:rFonts w:ascii="仿宋" w:hAnsi="仿宋" w:eastAsia="仿宋" w:cs="仿宋"/>
          <w:color w:val="auto"/>
          <w:sz w:val="24"/>
        </w:rPr>
      </w:pPr>
      <w:r>
        <w:rPr>
          <w:rFonts w:hint="eastAsia" w:ascii="仿宋" w:hAnsi="仿宋" w:eastAsia="仿宋" w:cs="仿宋"/>
          <w:color w:val="auto"/>
          <w:sz w:val="24"/>
        </w:rPr>
        <w:t>3.1中标人应协助医院完善高通量测序平台、质谱平台等技术支持，包括：性能验证、资料整理等相关支持。“精准</w:t>
      </w:r>
      <w:r>
        <w:rPr>
          <w:rFonts w:hint="eastAsia" w:ascii="仿宋" w:hAnsi="仿宋" w:eastAsia="仿宋" w:cs="仿宋"/>
          <w:color w:val="auto"/>
          <w:sz w:val="24"/>
          <w:lang w:val="en-US" w:eastAsia="zh-CN"/>
        </w:rPr>
        <w:t>医学</w:t>
      </w:r>
      <w:r>
        <w:rPr>
          <w:rFonts w:hint="eastAsia" w:ascii="仿宋" w:hAnsi="仿宋" w:eastAsia="仿宋" w:cs="仿宋"/>
          <w:color w:val="auto"/>
          <w:sz w:val="24"/>
        </w:rPr>
        <w:t>中心”新建平台上开展的项目以及实验室管理将按照 ISO 15189 质量体系标准，提供项目开展的规范化 SOP操作流程，确保检测诊断质量；高通量测序平台、质谱平台将参考</w:t>
      </w:r>
      <w:r>
        <w:rPr>
          <w:rFonts w:hint="eastAsia" w:ascii="仿宋" w:hAnsi="仿宋" w:eastAsia="仿宋" w:cs="仿宋"/>
          <w:color w:val="FF0000"/>
          <w:sz w:val="24"/>
        </w:rPr>
        <w:t xml:space="preserve"> ISO 15189 与 CLSI-C62A </w:t>
      </w:r>
      <w:r>
        <w:rPr>
          <w:rFonts w:hint="eastAsia" w:ascii="仿宋" w:hAnsi="仿宋" w:eastAsia="仿宋" w:cs="仿宋"/>
          <w:color w:val="auto"/>
          <w:sz w:val="24"/>
        </w:rPr>
        <w:t>标准规范建立完整质量体系。供应商应协助对“</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”进行全面质量管理监控体系，使用统一的校准品和质控品，定期进行内部评审。</w:t>
      </w:r>
    </w:p>
    <w:p>
      <w:pPr>
        <w:spacing w:line="360" w:lineRule="auto"/>
        <w:ind w:firstLine="480"/>
        <w:rPr>
          <w:rFonts w:ascii="仿宋" w:hAnsi="仿宋" w:eastAsia="仿宋" w:cs="仿宋"/>
          <w:color w:val="auto"/>
          <w:sz w:val="24"/>
        </w:rPr>
      </w:pPr>
      <w:r>
        <w:rPr>
          <w:rFonts w:hint="eastAsia" w:ascii="仿宋" w:hAnsi="仿宋" w:eastAsia="仿宋" w:cs="仿宋"/>
          <w:color w:val="auto"/>
          <w:sz w:val="24"/>
        </w:rPr>
        <w:t>3.2</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开展项目所需医疗设备及医用耗材属于医疗器械管理的，供应商应具备有效的医疗器械产品备案证或注册证。属于第一类医疗器械的产品，供应商须具备有效的产品备案凭证；属于第二类医疗器械的产品，供应商须具备有效的产品医疗器械注册证，第二类医疗器械经营备案凭证等相关材料；属于第三类医疗器械的产品，供应商须具备产品有效的产品医疗器械注册证、医疗器械经营许可证。投标产品有生产许可要求的，应具备生产厂家的有效的医疗器械生产企业许可证；且医疗器械生产企业许可证生产范围或医疗器械经营企业许可证经营范围是与投标产品相适用的。</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4人员运营管理</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4.1采购人为“精准</w:t>
      </w:r>
      <w:r>
        <w:rPr>
          <w:rFonts w:hint="eastAsia" w:ascii="仿宋" w:hAnsi="仿宋" w:eastAsia="仿宋" w:cs="仿宋"/>
          <w:color w:val="auto"/>
          <w:sz w:val="24"/>
          <w:lang w:val="en-US" w:eastAsia="zh-CN"/>
        </w:rPr>
        <w:t>医学</w:t>
      </w:r>
      <w:r>
        <w:rPr>
          <w:rFonts w:hint="eastAsia" w:ascii="仿宋" w:hAnsi="仿宋" w:eastAsia="仿宋" w:cs="仿宋"/>
          <w:color w:val="auto"/>
          <w:sz w:val="24"/>
        </w:rPr>
        <w:t>中心”指派配备生物类、遗传类等相关专业技术人员，供应商应对其进行相关技术培训和技术协助，使其能独立开展相关检测项目。</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4.2中标人提供1名科室运营管理人员，1名能熟练进行实验操作的技术人员，平台项目自检时技术人员到位，其人力成本由中标人承担。中标人提供的人员应当服从医院管理。</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4.3中标人须负责对医院技术人员进行培训，协助医院完成“</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”的培训体系建设；协助医院相关平台技术人员获得上岗证书。</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5实验室技术服务与管理支持</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5.1中标人协助科室开展精准诊疗项目（详见</w:t>
      </w:r>
      <w:r>
        <w:rPr>
          <w:rFonts w:hint="eastAsia" w:ascii="仿宋" w:hAnsi="仿宋" w:eastAsia="仿宋" w:cs="仿宋"/>
          <w:color w:val="FF0000"/>
          <w:sz w:val="24"/>
        </w:rPr>
        <w:t>附件3</w:t>
      </w:r>
      <w:r>
        <w:rPr>
          <w:rFonts w:hint="eastAsia" w:ascii="仿宋" w:hAnsi="仿宋" w:eastAsia="仿宋" w:cs="仿宋"/>
          <w:color w:val="auto"/>
          <w:sz w:val="24"/>
        </w:rPr>
        <w:t>），提供技术人员培训、人员带教，技术转移、新项目开展支持等工作，在医院提供院方技术人员的前提下，培养至少</w:t>
      </w:r>
      <w:r>
        <w:rPr>
          <w:rFonts w:hint="eastAsia" w:ascii="仿宋" w:hAnsi="仿宋" w:eastAsia="仿宋" w:cs="仿宋"/>
          <w:color w:val="auto"/>
          <w:sz w:val="24"/>
          <w:u w:val="single"/>
        </w:rPr>
        <w:t xml:space="preserve"> 2 </w:t>
      </w:r>
      <w:r>
        <w:rPr>
          <w:rFonts w:hint="eastAsia" w:ascii="仿宋" w:hAnsi="仿宋" w:eastAsia="仿宋" w:cs="仿宋"/>
          <w:color w:val="auto"/>
          <w:sz w:val="24"/>
        </w:rPr>
        <w:t>名技术人员，在合作期满前能具备数据解读、报告审核等方面的能力，能够独立解决操作中遇到的常见问题。</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5.2中标人协助科室的日常运营管理工作，包括性能验证、SOP 规范化文件、质量控制、项目开展相关资格认证、日常检测、样本至报告发放的全流程管理、报告查询、结果解读等，确保科室能够有序、规范开展项目等。</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5.3所开展项目以及实验室日常管理须按照 ISO15189质量体系标准建设，确保检测诊断质量。配合医院三</w:t>
      </w:r>
      <w:r>
        <w:rPr>
          <w:rFonts w:hint="eastAsia" w:ascii="仿宋" w:hAnsi="仿宋" w:eastAsia="仿宋" w:cs="仿宋"/>
          <w:color w:val="auto"/>
          <w:sz w:val="24"/>
          <w:lang w:val="en-US" w:eastAsia="zh-CN"/>
        </w:rPr>
        <w:t>乙</w:t>
      </w:r>
      <w:r>
        <w:rPr>
          <w:rFonts w:hint="eastAsia" w:ascii="仿宋" w:hAnsi="仿宋" w:eastAsia="仿宋" w:cs="仿宋"/>
          <w:color w:val="auto"/>
          <w:sz w:val="24"/>
        </w:rPr>
        <w:t>复审、ISO15189认可</w:t>
      </w:r>
      <w:r>
        <w:rPr>
          <w:rFonts w:hint="eastAsia" w:ascii="仿宋" w:hAnsi="仿宋" w:eastAsia="仿宋" w:cs="仿宋"/>
          <w:color w:val="auto"/>
          <w:sz w:val="24"/>
          <w:lang w:val="en-US" w:eastAsia="zh-CN"/>
        </w:rPr>
        <w:t>申请</w:t>
      </w:r>
      <w:r>
        <w:rPr>
          <w:rFonts w:hint="eastAsia" w:ascii="仿宋" w:hAnsi="仿宋" w:eastAsia="仿宋" w:cs="仿宋"/>
          <w:color w:val="auto"/>
          <w:sz w:val="24"/>
        </w:rPr>
        <w:t>等。</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5.4采购人不能在本地实现开展的项目，由中标人在其独立实验室进行检测，本地具备开展条件的项目，必须在本地开展。</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6科研合作及学科支持</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6.1根据临床需求及前期研究基础，供应商应结合自身高端前沿技术平台，共同合作开展慢病及健康管理、肿瘤精准诊疗、感染精准防控、遗传精准诊断</w:t>
      </w: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肠道微生态</w:t>
      </w:r>
      <w:r>
        <w:rPr>
          <w:rFonts w:hint="eastAsia" w:ascii="仿宋" w:hAnsi="仿宋" w:eastAsia="仿宋" w:cs="仿宋"/>
          <w:color w:val="auto"/>
          <w:sz w:val="24"/>
        </w:rPr>
        <w:t>等领域的合作，协助科室制定科研项目方案，跟踪科研目标进展，协助成果产出，推动学科发展。</w:t>
      </w:r>
    </w:p>
    <w:p>
      <w:pPr>
        <w:spacing w:line="360" w:lineRule="auto"/>
        <w:ind w:firstLine="480" w:firstLineChars="200"/>
        <w:rPr>
          <w:rFonts w:ascii="仿宋" w:hAnsi="仿宋" w:eastAsia="仿宋" w:cs="仿宋"/>
          <w:color w:val="auto"/>
        </w:rPr>
      </w:pPr>
      <w:r>
        <w:rPr>
          <w:rFonts w:hint="eastAsia" w:ascii="仿宋" w:hAnsi="仿宋" w:eastAsia="仿宋" w:cs="仿宋"/>
          <w:color w:val="auto"/>
          <w:sz w:val="24"/>
        </w:rPr>
        <w:t>6.2中标人具有多组学科研平台，能够提供非靶向代谢组学、蛋白组学、微生物组学等科研项目检测服务，辅助医院学科的科学研究。基于采购人相关科室在科研工作中存在的需求，中标人需给予协作。需提供详细的科研合作方案。</w:t>
      </w:r>
    </w:p>
    <w:p>
      <w:pPr>
        <w:spacing w:line="360" w:lineRule="auto"/>
        <w:ind w:firstLine="480" w:firstLineChars="200"/>
        <w:rPr>
          <w:rFonts w:ascii="仿宋" w:hAnsi="仿宋" w:eastAsia="仿宋" w:cs="仿宋"/>
          <w:bCs/>
          <w:color w:val="auto"/>
          <w:sz w:val="24"/>
        </w:rPr>
      </w:pPr>
      <w:r>
        <w:rPr>
          <w:rFonts w:hint="eastAsia" w:ascii="仿宋" w:hAnsi="仿宋" w:eastAsia="仿宋" w:cs="仿宋"/>
          <w:bCs/>
          <w:color w:val="auto"/>
          <w:sz w:val="24"/>
        </w:rPr>
        <w:t>7冷链运输</w:t>
      </w:r>
    </w:p>
    <w:p>
      <w:pPr>
        <w:spacing w:line="360" w:lineRule="auto"/>
        <w:ind w:firstLine="480" w:firstLineChars="200"/>
        <w:rPr>
          <w:rFonts w:ascii="仿宋" w:hAnsi="仿宋" w:eastAsia="仿宋" w:cs="仿宋"/>
          <w:bCs/>
          <w:color w:val="auto"/>
          <w:sz w:val="24"/>
        </w:rPr>
      </w:pPr>
      <w:r>
        <w:rPr>
          <w:rFonts w:hint="eastAsia" w:ascii="仿宋" w:hAnsi="仿宋" w:eastAsia="仿宋" w:cs="仿宋"/>
          <w:bCs/>
          <w:color w:val="auto"/>
          <w:sz w:val="24"/>
        </w:rPr>
        <w:t>7.1中标人必须配备完善医疗冷链物流系统和信息服务体系，所有检测试剂或者耗材运送必须符合温度的管理要求，采用相应的冷链运送技术，要保证检测试剂或者耗材的运输过程的安全，保证质量。</w:t>
      </w:r>
    </w:p>
    <w:p>
      <w:pPr>
        <w:spacing w:line="360" w:lineRule="auto"/>
        <w:ind w:firstLine="480" w:firstLineChars="200"/>
        <w:rPr>
          <w:rFonts w:ascii="仿宋" w:hAnsi="仿宋" w:eastAsia="仿宋" w:cs="仿宋"/>
          <w:bCs/>
          <w:color w:val="auto"/>
          <w:sz w:val="24"/>
        </w:rPr>
      </w:pPr>
      <w:r>
        <w:rPr>
          <w:rFonts w:hint="eastAsia" w:ascii="仿宋" w:hAnsi="仿宋" w:eastAsia="仿宋" w:cs="仿宋"/>
          <w:bCs/>
          <w:color w:val="auto"/>
          <w:sz w:val="24"/>
        </w:rPr>
        <w:t>7.2所有检测试剂或者耗材运送必须采用符合相关标准的冷链物流车或转送车辆及冷链物流箱。</w:t>
      </w:r>
    </w:p>
    <w:p>
      <w:pPr>
        <w:spacing w:line="360" w:lineRule="auto"/>
        <w:ind w:firstLine="480" w:firstLineChars="200"/>
        <w:rPr>
          <w:rFonts w:ascii="仿宋" w:hAnsi="仿宋" w:eastAsia="仿宋" w:cs="仿宋"/>
          <w:bCs/>
          <w:color w:val="auto"/>
          <w:sz w:val="24"/>
        </w:rPr>
      </w:pPr>
      <w:r>
        <w:rPr>
          <w:rFonts w:hint="eastAsia" w:ascii="仿宋" w:hAnsi="仿宋" w:eastAsia="仿宋" w:cs="仿宋"/>
          <w:bCs/>
          <w:color w:val="auto"/>
          <w:sz w:val="24"/>
        </w:rPr>
        <w:t>7.3提供可实时监控物流各个环节的温度的系统和终端设备，能够对物流的全程进行温度监控、报警及记录，能够对整个过程进行溯源管理。</w:t>
      </w:r>
    </w:p>
    <w:p>
      <w:pPr>
        <w:spacing w:line="360" w:lineRule="auto"/>
        <w:ind w:firstLine="480" w:firstLineChars="200"/>
        <w:rPr>
          <w:rFonts w:ascii="仿宋" w:hAnsi="仿宋" w:eastAsia="仿宋" w:cs="仿宋"/>
          <w:bCs/>
          <w:color w:val="auto"/>
          <w:sz w:val="24"/>
        </w:rPr>
      </w:pPr>
      <w:r>
        <w:rPr>
          <w:rFonts w:hint="eastAsia" w:ascii="仿宋" w:hAnsi="仿宋" w:eastAsia="仿宋" w:cs="仿宋"/>
          <w:bCs/>
          <w:color w:val="auto"/>
          <w:sz w:val="24"/>
        </w:rPr>
        <w:t>8检测服务</w:t>
      </w:r>
    </w:p>
    <w:p>
      <w:pPr>
        <w:spacing w:line="360" w:lineRule="auto"/>
        <w:ind w:firstLine="480" w:firstLineChars="200"/>
        <w:rPr>
          <w:rFonts w:ascii="仿宋" w:hAnsi="仿宋" w:eastAsia="仿宋" w:cs="仿宋"/>
          <w:bCs/>
          <w:color w:val="auto"/>
          <w:sz w:val="24"/>
        </w:rPr>
      </w:pPr>
      <w:r>
        <w:rPr>
          <w:rFonts w:hint="eastAsia" w:ascii="仿宋" w:hAnsi="仿宋" w:eastAsia="仿宋" w:cs="仿宋"/>
          <w:bCs/>
          <w:color w:val="auto"/>
          <w:sz w:val="24"/>
        </w:rPr>
        <w:t>8.1中标人提供专职运营管理团队，解决医院送检及报告过程中所发生的应急问题。运营人员应具有</w:t>
      </w:r>
      <w:r>
        <w:rPr>
          <w:rFonts w:hint="eastAsia" w:ascii="仿宋" w:hAnsi="仿宋" w:eastAsia="仿宋" w:cs="仿宋"/>
          <w:bCs/>
          <w:color w:val="auto"/>
          <w:sz w:val="24"/>
          <w:lang w:val="en-US" w:eastAsia="zh-CN"/>
        </w:rPr>
        <w:t>生信、</w:t>
      </w:r>
      <w:r>
        <w:rPr>
          <w:rFonts w:hint="eastAsia" w:ascii="仿宋" w:hAnsi="仿宋" w:eastAsia="仿宋" w:cs="仿宋"/>
          <w:bCs/>
          <w:color w:val="auto"/>
          <w:sz w:val="24"/>
        </w:rPr>
        <w:t>质谱相关学习经验和科研经验。</w:t>
      </w:r>
    </w:p>
    <w:p>
      <w:pPr>
        <w:spacing w:line="360" w:lineRule="auto"/>
        <w:ind w:firstLine="480" w:firstLineChars="200"/>
        <w:rPr>
          <w:rFonts w:ascii="仿宋" w:hAnsi="仿宋" w:eastAsia="仿宋" w:cs="仿宋"/>
          <w:bCs/>
          <w:color w:val="auto"/>
          <w:sz w:val="24"/>
        </w:rPr>
      </w:pPr>
      <w:r>
        <w:rPr>
          <w:rFonts w:hint="eastAsia" w:ascii="仿宋" w:hAnsi="仿宋" w:eastAsia="仿宋" w:cs="仿宋"/>
          <w:bCs/>
          <w:color w:val="auto"/>
          <w:sz w:val="24"/>
        </w:rPr>
        <w:t>8.2中标人提供</w:t>
      </w:r>
      <w:r>
        <w:rPr>
          <w:rFonts w:hint="eastAsia" w:ascii="仿宋" w:hAnsi="仿宋" w:eastAsia="仿宋" w:cs="仿宋"/>
          <w:bCs/>
          <w:color w:val="auto"/>
          <w:sz w:val="24"/>
          <w:lang w:eastAsia="zh-CN"/>
        </w:rPr>
        <w:t>精准医学中心</w:t>
      </w:r>
      <w:r>
        <w:rPr>
          <w:rFonts w:hint="eastAsia" w:ascii="仿宋" w:hAnsi="仿宋" w:eastAsia="仿宋" w:cs="仿宋"/>
          <w:bCs/>
          <w:color w:val="auto"/>
          <w:sz w:val="24"/>
        </w:rPr>
        <w:t>检测项目所需的相关软件，如需与医院HIS或LIS系统进行对接，产生的接口费由中标人承担，并进行后期运营服务。</w:t>
      </w:r>
    </w:p>
    <w:p>
      <w:pPr>
        <w:spacing w:line="360" w:lineRule="auto"/>
        <w:ind w:firstLine="480" w:firstLineChars="200"/>
        <w:rPr>
          <w:rFonts w:ascii="仿宋" w:hAnsi="仿宋" w:eastAsia="仿宋" w:cs="仿宋"/>
          <w:color w:val="auto"/>
        </w:rPr>
      </w:pPr>
      <w:r>
        <w:rPr>
          <w:rFonts w:hint="eastAsia" w:ascii="仿宋" w:hAnsi="仿宋" w:eastAsia="仿宋" w:cs="仿宋"/>
          <w:color w:val="auto"/>
          <w:sz w:val="24"/>
        </w:rPr>
        <w:t>8.3合同签订后医院有新增加开展项目，经医院同意后，按本项目合同的折扣进行项目新增入院。</w:t>
      </w:r>
    </w:p>
    <w:p>
      <w:pPr>
        <w:spacing w:line="360" w:lineRule="auto"/>
        <w:rPr>
          <w:rFonts w:ascii="仿宋" w:hAnsi="仿宋" w:eastAsia="仿宋" w:cs="仿宋"/>
          <w:b/>
          <w:color w:val="auto"/>
          <w:spacing w:val="-3"/>
          <w:sz w:val="24"/>
        </w:rPr>
      </w:pPr>
      <w:r>
        <w:rPr>
          <w:rFonts w:hint="eastAsia" w:ascii="仿宋" w:hAnsi="仿宋" w:eastAsia="仿宋" w:cs="仿宋"/>
          <w:b/>
          <w:color w:val="auto"/>
          <w:spacing w:val="-3"/>
          <w:sz w:val="24"/>
          <w:lang w:val="en-US" w:eastAsia="zh-CN"/>
        </w:rPr>
        <w:t>二</w:t>
      </w:r>
      <w:r>
        <w:rPr>
          <w:rFonts w:hint="eastAsia" w:ascii="仿宋" w:hAnsi="仿宋" w:eastAsia="仿宋" w:cs="仿宋"/>
          <w:b/>
          <w:color w:val="auto"/>
          <w:spacing w:val="-3"/>
          <w:sz w:val="24"/>
        </w:rPr>
        <w:t>、供应商资质</w:t>
      </w:r>
      <w:r>
        <w:rPr>
          <w:rFonts w:hint="eastAsia" w:ascii="仿宋" w:hAnsi="仿宋" w:eastAsia="仿宋" w:cs="仿宋"/>
          <w:b/>
          <w:color w:val="auto"/>
          <w:spacing w:val="-3"/>
          <w:sz w:val="24"/>
          <w:lang w:val="en-US" w:eastAsia="zh-CN"/>
        </w:rPr>
        <w:t>要求</w:t>
      </w:r>
    </w:p>
    <w:p>
      <w:pPr>
        <w:pStyle w:val="8"/>
        <w:snapToGrid w:val="0"/>
        <w:spacing w:line="360" w:lineRule="auto"/>
        <w:ind w:firstLine="480"/>
        <w:rPr>
          <w:rFonts w:ascii="仿宋" w:hAnsi="仿宋" w:eastAsia="仿宋" w:cs="仿宋"/>
          <w:snapToGrid w:val="0"/>
          <w:color w:val="auto"/>
          <w:sz w:val="24"/>
          <w:szCs w:val="21"/>
        </w:rPr>
      </w:pPr>
      <w:r>
        <w:rPr>
          <w:rFonts w:hint="eastAsia" w:ascii="仿宋" w:hAnsi="仿宋" w:eastAsia="仿宋" w:cs="仿宋"/>
          <w:snapToGrid w:val="0"/>
          <w:color w:val="auto"/>
          <w:sz w:val="24"/>
          <w:szCs w:val="21"/>
        </w:rPr>
        <w:t>1</w:t>
      </w:r>
      <w:r>
        <w:rPr>
          <w:rFonts w:hint="eastAsia" w:ascii="仿宋" w:hAnsi="仿宋" w:eastAsia="仿宋" w:cs="仿宋"/>
          <w:snapToGrid w:val="0"/>
          <w:color w:val="auto"/>
          <w:sz w:val="24"/>
          <w:szCs w:val="21"/>
          <w:lang w:val="en-US" w:eastAsia="zh-CN"/>
        </w:rPr>
        <w:t>供应商</w:t>
      </w:r>
      <w:r>
        <w:rPr>
          <w:rFonts w:hint="eastAsia" w:ascii="仿宋" w:hAnsi="仿宋" w:eastAsia="仿宋" w:cs="仿宋"/>
          <w:snapToGrid w:val="0"/>
          <w:color w:val="auto"/>
          <w:sz w:val="24"/>
          <w:szCs w:val="21"/>
        </w:rPr>
        <w:t>需具有ISO15189医学体系认证标准认证证书,具备独立开展本项目的能力。</w:t>
      </w:r>
    </w:p>
    <w:p>
      <w:pPr>
        <w:pStyle w:val="8"/>
        <w:snapToGrid w:val="0"/>
        <w:spacing w:line="360" w:lineRule="auto"/>
        <w:ind w:firstLine="480"/>
        <w:rPr>
          <w:rFonts w:ascii="仿宋" w:hAnsi="仿宋" w:eastAsia="仿宋" w:cs="仿宋"/>
          <w:snapToGrid w:val="0"/>
          <w:color w:val="auto"/>
          <w:sz w:val="24"/>
          <w:szCs w:val="21"/>
        </w:rPr>
      </w:pPr>
      <w:r>
        <w:rPr>
          <w:rFonts w:hint="eastAsia" w:ascii="仿宋" w:hAnsi="仿宋" w:eastAsia="仿宋" w:cs="仿宋"/>
          <w:snapToGrid w:val="0"/>
          <w:color w:val="auto"/>
          <w:sz w:val="24"/>
          <w:szCs w:val="21"/>
        </w:rPr>
        <w:t>2供应商需提供本项目检测服务的实验室室间质评认证情况：202</w:t>
      </w:r>
      <w:r>
        <w:rPr>
          <w:rFonts w:hint="eastAsia" w:ascii="仿宋" w:hAnsi="仿宋" w:eastAsia="仿宋" w:cs="仿宋"/>
          <w:snapToGrid w:val="0"/>
          <w:color w:val="auto"/>
          <w:sz w:val="24"/>
          <w:szCs w:val="21"/>
          <w:lang w:val="en-US" w:eastAsia="zh-CN"/>
        </w:rPr>
        <w:t>2</w:t>
      </w:r>
      <w:r>
        <w:rPr>
          <w:rFonts w:hint="eastAsia" w:ascii="仿宋" w:hAnsi="仿宋" w:eastAsia="仿宋" w:cs="仿宋"/>
          <w:snapToGrid w:val="0"/>
          <w:color w:val="auto"/>
          <w:sz w:val="24"/>
          <w:szCs w:val="21"/>
        </w:rPr>
        <w:t>年至今获得的国家、省级临检中心室间质评证书数量情况。</w:t>
      </w:r>
    </w:p>
    <w:p>
      <w:pPr>
        <w:spacing w:line="360" w:lineRule="auto"/>
        <w:rPr>
          <w:rFonts w:ascii="仿宋" w:hAnsi="仿宋" w:eastAsia="仿宋" w:cs="仿宋"/>
          <w:b/>
          <w:color w:val="auto"/>
          <w:spacing w:val="-3"/>
          <w:sz w:val="24"/>
        </w:rPr>
      </w:pPr>
      <w:r>
        <w:rPr>
          <w:rFonts w:hint="eastAsia" w:ascii="仿宋" w:hAnsi="仿宋" w:eastAsia="仿宋" w:cs="仿宋"/>
          <w:b/>
          <w:color w:val="auto"/>
          <w:spacing w:val="-3"/>
          <w:sz w:val="24"/>
          <w:lang w:val="en-US" w:eastAsia="zh-CN"/>
        </w:rPr>
        <w:t>三</w:t>
      </w:r>
      <w:r>
        <w:rPr>
          <w:rFonts w:hint="eastAsia" w:ascii="仿宋" w:hAnsi="仿宋" w:eastAsia="仿宋" w:cs="仿宋"/>
          <w:b/>
          <w:color w:val="auto"/>
          <w:spacing w:val="-3"/>
          <w:sz w:val="24"/>
        </w:rPr>
        <w:t>、运营管理服务</w:t>
      </w:r>
    </w:p>
    <w:p>
      <w:pPr>
        <w:pStyle w:val="8"/>
        <w:snapToGrid w:val="0"/>
        <w:spacing w:line="360" w:lineRule="auto"/>
        <w:ind w:firstLine="480"/>
        <w:rPr>
          <w:rFonts w:ascii="仿宋" w:hAnsi="仿宋" w:eastAsia="仿宋" w:cs="仿宋"/>
          <w:snapToGrid w:val="0"/>
          <w:color w:val="auto"/>
          <w:sz w:val="24"/>
          <w:szCs w:val="21"/>
        </w:rPr>
      </w:pPr>
      <w:r>
        <w:rPr>
          <w:rFonts w:hint="eastAsia" w:ascii="仿宋" w:hAnsi="仿宋" w:eastAsia="仿宋" w:cs="仿宋"/>
          <w:snapToGrid w:val="0"/>
          <w:color w:val="auto"/>
          <w:sz w:val="24"/>
          <w:szCs w:val="21"/>
        </w:rPr>
        <w:t>1满足此次平台建设的设备要求参数，详见</w:t>
      </w:r>
      <w:r>
        <w:rPr>
          <w:rFonts w:hint="eastAsia" w:ascii="仿宋" w:hAnsi="仿宋" w:eastAsia="仿宋" w:cs="仿宋"/>
          <w:snapToGrid w:val="0"/>
          <w:color w:val="FF0000"/>
          <w:sz w:val="24"/>
          <w:szCs w:val="21"/>
        </w:rPr>
        <w:t>附件1和2</w:t>
      </w:r>
      <w:r>
        <w:rPr>
          <w:rFonts w:hint="eastAsia" w:ascii="仿宋" w:hAnsi="仿宋" w:eastAsia="仿宋" w:cs="仿宋"/>
          <w:snapToGrid w:val="0"/>
          <w:color w:val="auto"/>
          <w:sz w:val="24"/>
          <w:szCs w:val="21"/>
        </w:rPr>
        <w:t>。</w:t>
      </w:r>
    </w:p>
    <w:p>
      <w:pPr>
        <w:pStyle w:val="8"/>
        <w:snapToGrid w:val="0"/>
        <w:spacing w:line="360" w:lineRule="auto"/>
        <w:ind w:firstLine="480"/>
        <w:rPr>
          <w:rFonts w:ascii="仿宋" w:hAnsi="仿宋" w:eastAsia="仿宋" w:cs="仿宋"/>
          <w:snapToGrid w:val="0"/>
          <w:color w:val="auto"/>
          <w:sz w:val="24"/>
          <w:szCs w:val="21"/>
        </w:rPr>
      </w:pPr>
      <w:r>
        <w:rPr>
          <w:rFonts w:hint="eastAsia" w:ascii="仿宋" w:hAnsi="仿宋" w:eastAsia="仿宋" w:cs="仿宋"/>
          <w:snapToGrid w:val="0"/>
          <w:color w:val="auto"/>
          <w:sz w:val="24"/>
          <w:szCs w:val="21"/>
        </w:rPr>
        <w:t>2对采购文件“技术服务要求”响应。</w:t>
      </w:r>
    </w:p>
    <w:p>
      <w:pPr>
        <w:pStyle w:val="8"/>
        <w:snapToGrid w:val="0"/>
        <w:spacing w:line="360" w:lineRule="auto"/>
        <w:ind w:firstLine="480"/>
        <w:rPr>
          <w:rFonts w:ascii="仿宋" w:hAnsi="仿宋" w:eastAsia="仿宋" w:cs="仿宋"/>
          <w:snapToGrid w:val="0"/>
          <w:color w:val="auto"/>
          <w:sz w:val="24"/>
          <w:szCs w:val="21"/>
        </w:rPr>
      </w:pPr>
      <w:r>
        <w:rPr>
          <w:rFonts w:ascii="仿宋" w:hAnsi="仿宋" w:eastAsia="仿宋" w:cs="仿宋"/>
          <w:snapToGrid w:val="0"/>
          <w:color w:val="auto"/>
          <w:sz w:val="24"/>
          <w:szCs w:val="21"/>
        </w:rPr>
        <w:t>3</w:t>
      </w:r>
      <w:r>
        <w:rPr>
          <w:rFonts w:hint="eastAsia" w:ascii="仿宋" w:hAnsi="仿宋" w:eastAsia="仿宋" w:cs="仿宋"/>
          <w:snapToGrid w:val="0"/>
          <w:color w:val="auto"/>
          <w:sz w:val="24"/>
          <w:szCs w:val="21"/>
        </w:rPr>
        <w:t>为优化</w:t>
      </w:r>
      <w:r>
        <w:rPr>
          <w:rFonts w:hint="eastAsia" w:ascii="仿宋" w:hAnsi="仿宋" w:eastAsia="仿宋" w:cs="仿宋"/>
          <w:snapToGrid w:val="0"/>
          <w:color w:val="auto"/>
          <w:sz w:val="24"/>
          <w:szCs w:val="21"/>
          <w:lang w:val="en-US" w:eastAsia="zh-CN"/>
        </w:rPr>
        <w:t>测序</w:t>
      </w:r>
      <w:r>
        <w:rPr>
          <w:rFonts w:hint="eastAsia" w:ascii="仿宋" w:hAnsi="仿宋" w:eastAsia="仿宋" w:cs="仿宋"/>
          <w:snapToGrid w:val="0"/>
          <w:color w:val="auto"/>
          <w:sz w:val="24"/>
          <w:szCs w:val="21"/>
        </w:rPr>
        <w:t>平台检测质量标准，供应商具有独立的临床</w:t>
      </w:r>
      <w:r>
        <w:rPr>
          <w:rFonts w:hint="eastAsia" w:ascii="仿宋" w:hAnsi="仿宋" w:eastAsia="仿宋" w:cs="仿宋"/>
          <w:snapToGrid w:val="0"/>
          <w:color w:val="auto"/>
          <w:sz w:val="24"/>
          <w:szCs w:val="21"/>
          <w:lang w:val="en-US" w:eastAsia="zh-CN"/>
        </w:rPr>
        <w:t>测序</w:t>
      </w:r>
      <w:r>
        <w:rPr>
          <w:rFonts w:hint="eastAsia" w:ascii="仿宋" w:hAnsi="仿宋" w:eastAsia="仿宋" w:cs="仿宋"/>
          <w:snapToGrid w:val="0"/>
          <w:color w:val="auto"/>
          <w:sz w:val="24"/>
          <w:szCs w:val="21"/>
        </w:rPr>
        <w:t>质量控制软件。</w:t>
      </w:r>
    </w:p>
    <w:p>
      <w:pPr>
        <w:pStyle w:val="8"/>
        <w:snapToGrid w:val="0"/>
        <w:spacing w:line="360" w:lineRule="auto"/>
        <w:ind w:firstLine="480"/>
        <w:rPr>
          <w:rFonts w:ascii="仿宋" w:hAnsi="仿宋" w:eastAsia="仿宋" w:cs="仿宋"/>
          <w:snapToGrid w:val="0"/>
          <w:color w:val="auto"/>
          <w:sz w:val="24"/>
          <w:szCs w:val="21"/>
        </w:rPr>
      </w:pPr>
      <w:r>
        <w:rPr>
          <w:rFonts w:ascii="仿宋" w:hAnsi="仿宋" w:eastAsia="仿宋" w:cs="仿宋"/>
          <w:snapToGrid w:val="0"/>
          <w:color w:val="auto"/>
          <w:sz w:val="24"/>
          <w:szCs w:val="21"/>
        </w:rPr>
        <w:t>4</w:t>
      </w:r>
      <w:r>
        <w:rPr>
          <w:rFonts w:hint="eastAsia" w:ascii="仿宋" w:hAnsi="仿宋" w:eastAsia="仿宋" w:cs="仿宋"/>
          <w:snapToGrid w:val="0"/>
          <w:color w:val="auto"/>
          <w:sz w:val="24"/>
          <w:szCs w:val="21"/>
        </w:rPr>
        <w:t>供应商实验室能独立完成“附件3：检测项目清单”中所有检测项目。</w:t>
      </w:r>
    </w:p>
    <w:p>
      <w:pPr>
        <w:pStyle w:val="8"/>
        <w:snapToGrid w:val="0"/>
        <w:spacing w:line="360" w:lineRule="auto"/>
        <w:ind w:firstLine="480"/>
        <w:rPr>
          <w:rFonts w:ascii="仿宋" w:hAnsi="仿宋" w:eastAsia="仿宋" w:cs="仿宋"/>
          <w:snapToGrid w:val="0"/>
          <w:color w:val="auto"/>
          <w:sz w:val="24"/>
          <w:szCs w:val="21"/>
        </w:rPr>
      </w:pPr>
      <w:r>
        <w:rPr>
          <w:rFonts w:ascii="仿宋" w:hAnsi="仿宋" w:eastAsia="仿宋" w:cs="仿宋"/>
          <w:snapToGrid w:val="0"/>
          <w:color w:val="auto"/>
          <w:sz w:val="24"/>
          <w:szCs w:val="21"/>
        </w:rPr>
        <w:t>5</w:t>
      </w:r>
      <w:r>
        <w:rPr>
          <w:rFonts w:hint="eastAsia" w:ascii="仿宋" w:hAnsi="仿宋" w:eastAsia="仿宋" w:cs="仿宋"/>
          <w:snapToGrid w:val="0"/>
          <w:color w:val="auto"/>
          <w:sz w:val="24"/>
          <w:szCs w:val="21"/>
        </w:rPr>
        <w:t>提供运营管理服务人员配置及技术团队情况。</w:t>
      </w:r>
      <w:bookmarkStart w:id="0" w:name="_GoBack"/>
      <w:bookmarkEnd w:id="0"/>
    </w:p>
    <w:p>
      <w:pPr>
        <w:pStyle w:val="8"/>
        <w:snapToGrid w:val="0"/>
        <w:spacing w:line="360" w:lineRule="auto"/>
        <w:ind w:firstLine="480"/>
        <w:rPr>
          <w:rFonts w:ascii="仿宋" w:hAnsi="仿宋" w:eastAsia="仿宋" w:cs="仿宋"/>
          <w:snapToGrid w:val="0"/>
          <w:color w:val="auto"/>
          <w:sz w:val="24"/>
          <w:szCs w:val="21"/>
        </w:rPr>
      </w:pPr>
      <w:r>
        <w:rPr>
          <w:rFonts w:ascii="仿宋" w:hAnsi="仿宋" w:eastAsia="仿宋" w:cs="仿宋"/>
          <w:snapToGrid w:val="0"/>
          <w:color w:val="auto"/>
          <w:sz w:val="24"/>
          <w:szCs w:val="21"/>
        </w:rPr>
        <w:t>6</w:t>
      </w:r>
      <w:r>
        <w:rPr>
          <w:rFonts w:hint="eastAsia" w:ascii="仿宋" w:hAnsi="仿宋" w:eastAsia="仿宋" w:cs="仿宋"/>
          <w:snapToGrid w:val="0"/>
          <w:color w:val="auto"/>
          <w:sz w:val="24"/>
          <w:szCs w:val="21"/>
        </w:rPr>
        <w:t>提供为本项目服务的冷链物流资质情况。</w:t>
      </w:r>
    </w:p>
    <w:p>
      <w:pPr>
        <w:pStyle w:val="8"/>
        <w:snapToGrid w:val="0"/>
        <w:spacing w:line="360" w:lineRule="auto"/>
        <w:ind w:firstLine="480"/>
        <w:rPr>
          <w:rFonts w:ascii="仿宋" w:hAnsi="仿宋" w:eastAsia="仿宋" w:cs="仿宋"/>
          <w:snapToGrid w:val="0"/>
          <w:color w:val="auto"/>
          <w:sz w:val="24"/>
          <w:szCs w:val="21"/>
        </w:rPr>
      </w:pPr>
      <w:r>
        <w:rPr>
          <w:rFonts w:ascii="仿宋" w:hAnsi="仿宋" w:eastAsia="仿宋" w:cs="仿宋"/>
          <w:snapToGrid w:val="0"/>
          <w:color w:val="auto"/>
          <w:sz w:val="24"/>
          <w:szCs w:val="21"/>
        </w:rPr>
        <w:t>7</w:t>
      </w:r>
      <w:r>
        <w:rPr>
          <w:rFonts w:hint="eastAsia" w:ascii="仿宋" w:hAnsi="仿宋" w:eastAsia="仿宋" w:cs="仿宋"/>
          <w:snapToGrid w:val="0"/>
          <w:color w:val="auto"/>
          <w:sz w:val="24"/>
          <w:szCs w:val="21"/>
        </w:rPr>
        <w:t>提供</w:t>
      </w:r>
      <w:r>
        <w:rPr>
          <w:rFonts w:hint="eastAsia" w:ascii="仿宋" w:hAnsi="仿宋" w:eastAsia="仿宋" w:cs="仿宋"/>
          <w:snapToGrid w:val="0"/>
          <w:color w:val="auto"/>
          <w:sz w:val="24"/>
          <w:szCs w:val="21"/>
          <w:lang w:eastAsia="zh-CN"/>
        </w:rPr>
        <w:t>精准医学中心</w:t>
      </w:r>
      <w:r>
        <w:rPr>
          <w:rFonts w:hint="eastAsia" w:ascii="仿宋" w:hAnsi="仿宋" w:eastAsia="仿宋" w:cs="仿宋"/>
          <w:snapToGrid w:val="0"/>
          <w:color w:val="auto"/>
          <w:sz w:val="24"/>
          <w:szCs w:val="21"/>
        </w:rPr>
        <w:t>平台故障或者紧急事件应急方案。</w:t>
      </w:r>
    </w:p>
    <w:p>
      <w:pPr>
        <w:spacing w:line="360" w:lineRule="auto"/>
        <w:rPr>
          <w:rFonts w:ascii="仿宋" w:hAnsi="仿宋" w:eastAsia="仿宋" w:cs="仿宋"/>
          <w:b/>
          <w:bCs/>
          <w:color w:val="auto"/>
          <w:spacing w:val="-3"/>
          <w:sz w:val="24"/>
        </w:rPr>
      </w:pPr>
      <w:r>
        <w:rPr>
          <w:rFonts w:hint="eastAsia" w:ascii="仿宋" w:hAnsi="仿宋" w:eastAsia="仿宋" w:cs="仿宋"/>
          <w:b/>
          <w:bCs/>
          <w:color w:val="auto"/>
          <w:spacing w:val="-3"/>
          <w:sz w:val="24"/>
        </w:rPr>
        <w:t>五、技术服务要求</w:t>
      </w:r>
    </w:p>
    <w:p>
      <w:pPr>
        <w:spacing w:line="360" w:lineRule="auto"/>
        <w:ind w:firstLine="468" w:firstLineChars="200"/>
        <w:rPr>
          <w:rFonts w:hint="default" w:ascii="仿宋" w:hAnsi="仿宋" w:eastAsia="仿宋" w:cs="仿宋"/>
          <w:color w:val="auto"/>
          <w:spacing w:val="-3"/>
          <w:sz w:val="24"/>
          <w:lang w:val="en-US" w:eastAsia="zh-CN"/>
        </w:rPr>
      </w:pPr>
      <w:r>
        <w:rPr>
          <w:rFonts w:hint="eastAsia" w:ascii="仿宋" w:hAnsi="仿宋" w:eastAsia="仿宋" w:cs="仿宋"/>
          <w:color w:val="auto"/>
          <w:spacing w:val="-3"/>
          <w:sz w:val="24"/>
          <w:lang w:val="en-US" w:eastAsia="zh-CN"/>
        </w:rPr>
        <w:t>1.</w:t>
      </w:r>
      <w:r>
        <w:rPr>
          <w:rFonts w:hint="eastAsia" w:ascii="仿宋" w:hAnsi="仿宋" w:eastAsia="仿宋" w:cs="仿宋"/>
          <w:color w:val="auto"/>
          <w:spacing w:val="-3"/>
          <w:sz w:val="24"/>
        </w:rPr>
        <w:t>为满足临床的诊疗需求</w:t>
      </w:r>
      <w:r>
        <w:rPr>
          <w:rFonts w:hint="eastAsia" w:ascii="仿宋" w:hAnsi="仿宋" w:eastAsia="仿宋" w:cs="仿宋"/>
          <w:color w:val="auto"/>
          <w:spacing w:val="-3"/>
          <w:sz w:val="24"/>
          <w:lang w:eastAsia="zh-CN"/>
        </w:rPr>
        <w:t>，</w:t>
      </w:r>
      <w:r>
        <w:rPr>
          <w:rFonts w:hint="eastAsia" w:ascii="仿宋" w:hAnsi="仿宋" w:eastAsia="仿宋" w:cs="仿宋"/>
          <w:color w:val="auto"/>
          <w:spacing w:val="-3"/>
          <w:sz w:val="24"/>
          <w:lang w:val="en-US" w:eastAsia="zh-CN"/>
        </w:rPr>
        <w:t>供应商具有较强的肠道微生态诊治能力，能协助医院肠道微生态健康门诊开办，并提供专家团队证明材料。</w:t>
      </w:r>
    </w:p>
    <w:p>
      <w:pPr>
        <w:spacing w:line="360" w:lineRule="auto"/>
        <w:ind w:firstLine="468" w:firstLineChars="200"/>
        <w:rPr>
          <w:rFonts w:hint="eastAsia" w:ascii="仿宋" w:hAnsi="仿宋" w:eastAsia="仿宋" w:cs="仿宋"/>
          <w:color w:val="auto"/>
          <w:spacing w:val="-3"/>
          <w:sz w:val="24"/>
        </w:rPr>
      </w:pPr>
      <w:r>
        <w:rPr>
          <w:rFonts w:hint="eastAsia" w:ascii="仿宋" w:hAnsi="仿宋" w:eastAsia="仿宋" w:cs="仿宋"/>
          <w:color w:val="auto"/>
          <w:spacing w:val="-3"/>
          <w:sz w:val="24"/>
          <w:lang w:val="en-US" w:eastAsia="zh-CN"/>
        </w:rPr>
        <w:t>2.</w:t>
      </w:r>
      <w:r>
        <w:rPr>
          <w:rFonts w:hint="eastAsia" w:ascii="仿宋" w:hAnsi="仿宋" w:eastAsia="仿宋" w:cs="仿宋"/>
          <w:color w:val="auto"/>
          <w:spacing w:val="-3"/>
          <w:sz w:val="24"/>
        </w:rPr>
        <w:t>供应商具有较强的遗传咨询能力，具有遗传咨询师资质人员和专家团队，针对疑难罕见病例可组织遗传领域专家进行MDT讨论，并协助医院遗传咨询门诊开办，并提供遗传咨询人员和专家团队资质证明材料。</w:t>
      </w:r>
    </w:p>
    <w:p>
      <w:pPr>
        <w:spacing w:line="360" w:lineRule="auto"/>
        <w:ind w:firstLine="468" w:firstLineChars="200"/>
        <w:rPr>
          <w:rFonts w:ascii="仿宋" w:hAnsi="仿宋" w:eastAsia="仿宋" w:cs="仿宋"/>
          <w:color w:val="auto"/>
          <w:spacing w:val="-3"/>
          <w:sz w:val="24"/>
        </w:rPr>
      </w:pPr>
      <w:r>
        <w:rPr>
          <w:rFonts w:hint="eastAsia" w:ascii="仿宋" w:hAnsi="仿宋" w:eastAsia="仿宋" w:cs="仿宋"/>
          <w:color w:val="auto"/>
          <w:spacing w:val="-3"/>
          <w:sz w:val="24"/>
          <w:lang w:val="en-US" w:eastAsia="zh-CN"/>
        </w:rPr>
        <w:t>3.</w:t>
      </w:r>
      <w:r>
        <w:rPr>
          <w:rFonts w:hint="eastAsia" w:ascii="仿宋" w:hAnsi="仿宋" w:eastAsia="仿宋" w:cs="仿宋"/>
          <w:color w:val="auto"/>
          <w:spacing w:val="-3"/>
          <w:sz w:val="24"/>
        </w:rPr>
        <w:t>供应商实验室具有非靶向平台代谢组学检测的技术能力，可采用多种数据采集方法，覆盖更多代谢物范围，检测种类包括氨基酸类、糖类、辅酶和维生素类、核苷酸类、脂类、能量代谢物以及菌群相关代谢物和外源性代谢物等八大类物质，能根据医院的要求，对医院提供的批量样本进行高通量代谢组学比较分析，提供证明材料。</w:t>
      </w:r>
    </w:p>
    <w:p>
      <w:pPr>
        <w:spacing w:line="360" w:lineRule="auto"/>
        <w:ind w:firstLine="468" w:firstLineChars="200"/>
        <w:rPr>
          <w:rFonts w:ascii="仿宋" w:hAnsi="仿宋" w:eastAsia="仿宋" w:cs="仿宋"/>
          <w:color w:val="auto"/>
          <w:spacing w:val="-3"/>
          <w:sz w:val="24"/>
        </w:rPr>
      </w:pPr>
      <w:r>
        <w:rPr>
          <w:rFonts w:hint="eastAsia" w:ascii="仿宋" w:hAnsi="仿宋" w:eastAsia="仿宋" w:cs="仿宋"/>
          <w:color w:val="auto"/>
          <w:spacing w:val="-3"/>
          <w:sz w:val="24"/>
          <w:lang w:val="en-US" w:eastAsia="zh-CN"/>
        </w:rPr>
        <w:t>4.</w:t>
      </w:r>
      <w:r>
        <w:rPr>
          <w:rFonts w:hint="eastAsia" w:ascii="仿宋" w:hAnsi="仿宋" w:eastAsia="仿宋" w:cs="仿宋"/>
          <w:color w:val="auto"/>
          <w:spacing w:val="-3"/>
          <w:sz w:val="24"/>
        </w:rPr>
        <w:t>为保障实验结果的准确性，针对</w:t>
      </w:r>
      <w:r>
        <w:rPr>
          <w:rFonts w:hint="eastAsia" w:ascii="仿宋" w:hAnsi="仿宋" w:eastAsia="仿宋" w:cs="仿宋"/>
          <w:color w:val="auto"/>
          <w:spacing w:val="-3"/>
          <w:sz w:val="24"/>
          <w:lang w:val="en-US" w:eastAsia="zh-CN"/>
        </w:rPr>
        <w:t>招标人开展项目在全国临床检验中心、省级及其他同级实验室有开展的室间质评项目</w:t>
      </w:r>
      <w:r>
        <w:rPr>
          <w:rFonts w:hint="eastAsia" w:ascii="仿宋" w:hAnsi="仿宋" w:eastAsia="仿宋" w:cs="仿宋"/>
          <w:color w:val="auto"/>
          <w:spacing w:val="-3"/>
          <w:sz w:val="24"/>
        </w:rPr>
        <w:t>，供应商实验室202</w:t>
      </w:r>
      <w:r>
        <w:rPr>
          <w:rFonts w:hint="eastAsia" w:ascii="仿宋" w:hAnsi="仿宋" w:eastAsia="仿宋" w:cs="仿宋"/>
          <w:color w:val="auto"/>
          <w:spacing w:val="-3"/>
          <w:sz w:val="24"/>
          <w:lang w:val="en-US" w:eastAsia="zh-CN"/>
        </w:rPr>
        <w:t>2</w:t>
      </w:r>
      <w:r>
        <w:rPr>
          <w:rFonts w:hint="eastAsia" w:ascii="仿宋" w:hAnsi="仿宋" w:eastAsia="仿宋" w:cs="仿宋"/>
          <w:color w:val="auto"/>
          <w:spacing w:val="-3"/>
          <w:sz w:val="24"/>
        </w:rPr>
        <w:t>年以来全国临床和科研实验室室间质量评价应合格，并提供证明材料。</w:t>
      </w:r>
    </w:p>
    <w:p>
      <w:pPr>
        <w:spacing w:line="360" w:lineRule="auto"/>
        <w:rPr>
          <w:rFonts w:ascii="仿宋" w:hAnsi="仿宋" w:eastAsia="仿宋" w:cs="仿宋"/>
          <w:b/>
          <w:bCs/>
          <w:color w:val="auto"/>
          <w:spacing w:val="-3"/>
          <w:sz w:val="24"/>
        </w:rPr>
      </w:pPr>
      <w:r>
        <w:rPr>
          <w:rFonts w:hint="eastAsia" w:ascii="仿宋" w:hAnsi="仿宋" w:eastAsia="仿宋" w:cs="仿宋"/>
          <w:b/>
          <w:bCs/>
          <w:color w:val="auto"/>
          <w:spacing w:val="-3"/>
          <w:sz w:val="24"/>
          <w:lang w:val="en-US" w:eastAsia="zh-CN"/>
        </w:rPr>
        <w:t>五</w:t>
      </w:r>
      <w:r>
        <w:rPr>
          <w:rFonts w:hint="eastAsia" w:ascii="仿宋" w:hAnsi="仿宋" w:eastAsia="仿宋" w:cs="仿宋"/>
          <w:b/>
          <w:bCs/>
          <w:color w:val="auto"/>
          <w:spacing w:val="-3"/>
          <w:sz w:val="24"/>
        </w:rPr>
        <w:t>、</w:t>
      </w:r>
      <w:r>
        <w:rPr>
          <w:rFonts w:hint="eastAsia" w:ascii="仿宋" w:hAnsi="仿宋" w:eastAsia="仿宋" w:cs="仿宋"/>
          <w:b/>
          <w:bCs/>
          <w:color w:val="auto"/>
          <w:spacing w:val="-3"/>
          <w:sz w:val="24"/>
          <w:lang w:eastAsia="zh-CN"/>
        </w:rPr>
        <w:t>精准医学中心</w:t>
      </w:r>
      <w:r>
        <w:rPr>
          <w:rFonts w:hint="eastAsia" w:ascii="仿宋" w:hAnsi="仿宋" w:eastAsia="仿宋" w:cs="仿宋"/>
          <w:b/>
          <w:bCs/>
          <w:color w:val="auto"/>
          <w:spacing w:val="-3"/>
          <w:sz w:val="24"/>
        </w:rPr>
        <w:t>同类业绩</w:t>
      </w:r>
    </w:p>
    <w:p>
      <w:pPr>
        <w:pStyle w:val="8"/>
        <w:snapToGrid w:val="0"/>
        <w:spacing w:line="360" w:lineRule="auto"/>
        <w:ind w:firstLine="480"/>
        <w:rPr>
          <w:rFonts w:ascii="仿宋" w:hAnsi="仿宋" w:eastAsia="仿宋" w:cs="仿宋"/>
          <w:color w:val="auto"/>
        </w:rPr>
      </w:pPr>
      <w:r>
        <w:rPr>
          <w:rFonts w:hint="eastAsia" w:ascii="仿宋" w:hAnsi="仿宋" w:eastAsia="仿宋" w:cs="仿宋"/>
          <w:snapToGrid w:val="0"/>
          <w:color w:val="auto"/>
          <w:sz w:val="24"/>
          <w:szCs w:val="21"/>
        </w:rPr>
        <w:t>供应商“</w:t>
      </w:r>
      <w:r>
        <w:rPr>
          <w:rFonts w:hint="eastAsia" w:ascii="仿宋" w:hAnsi="仿宋" w:eastAsia="仿宋" w:cs="仿宋"/>
          <w:snapToGrid w:val="0"/>
          <w:color w:val="auto"/>
          <w:sz w:val="24"/>
          <w:szCs w:val="21"/>
          <w:lang w:eastAsia="zh-CN"/>
        </w:rPr>
        <w:t>精准医学中心</w:t>
      </w:r>
      <w:r>
        <w:rPr>
          <w:rFonts w:hint="eastAsia" w:ascii="仿宋" w:hAnsi="仿宋" w:eastAsia="仿宋" w:cs="仿宋"/>
          <w:snapToGrid w:val="0"/>
          <w:color w:val="auto"/>
          <w:sz w:val="24"/>
          <w:szCs w:val="21"/>
        </w:rPr>
        <w:t>”建设的经验：提供与最终使用单位的委托合同复印件或协议复印件。</w:t>
      </w:r>
    </w:p>
    <w:p>
      <w:pPr>
        <w:spacing w:line="360" w:lineRule="auto"/>
        <w:rPr>
          <w:rFonts w:ascii="仿宋" w:hAnsi="仿宋" w:eastAsia="仿宋" w:cs="仿宋"/>
          <w:b/>
          <w:bCs/>
          <w:color w:val="auto"/>
          <w:spacing w:val="-3"/>
          <w:sz w:val="24"/>
        </w:rPr>
      </w:pPr>
      <w:r>
        <w:rPr>
          <w:rFonts w:hint="eastAsia" w:ascii="仿宋" w:hAnsi="仿宋" w:eastAsia="仿宋" w:cs="仿宋"/>
          <w:b/>
          <w:bCs/>
          <w:color w:val="auto"/>
          <w:spacing w:val="-3"/>
          <w:sz w:val="24"/>
          <w:lang w:val="en-US" w:eastAsia="zh-CN"/>
        </w:rPr>
        <w:t>六</w:t>
      </w:r>
      <w:r>
        <w:rPr>
          <w:rFonts w:hint="eastAsia" w:ascii="仿宋" w:hAnsi="仿宋" w:eastAsia="仿宋" w:cs="仿宋"/>
          <w:b/>
          <w:bCs/>
          <w:color w:val="auto"/>
          <w:spacing w:val="-3"/>
          <w:sz w:val="24"/>
        </w:rPr>
        <w:t>、商务要求</w:t>
      </w:r>
    </w:p>
    <w:p>
      <w:pPr>
        <w:spacing w:line="360" w:lineRule="auto"/>
        <w:rPr>
          <w:rFonts w:ascii="仿宋" w:hAnsi="仿宋" w:eastAsia="仿宋" w:cs="仿宋"/>
          <w:color w:val="auto"/>
          <w:spacing w:val="21"/>
          <w:sz w:val="24"/>
        </w:rPr>
      </w:pPr>
      <w:r>
        <w:rPr>
          <w:rFonts w:hint="eastAsia" w:ascii="仿宋" w:hAnsi="仿宋" w:eastAsia="仿宋" w:cs="仿宋"/>
          <w:color w:val="auto"/>
          <w:spacing w:val="12"/>
          <w:sz w:val="24"/>
        </w:rPr>
        <w:t>1</w:t>
      </w:r>
      <w:r>
        <w:rPr>
          <w:rFonts w:hint="eastAsia" w:ascii="仿宋" w:hAnsi="仿宋" w:eastAsia="仿宋" w:cs="仿宋"/>
          <w:color w:val="auto"/>
          <w:spacing w:val="5"/>
          <w:sz w:val="24"/>
        </w:rPr>
        <w:t>、设备质保</w:t>
      </w:r>
      <w:r>
        <w:rPr>
          <w:rFonts w:hint="eastAsia" w:ascii="仿宋" w:hAnsi="仿宋" w:eastAsia="仿宋" w:cs="仿宋"/>
          <w:color w:val="auto"/>
          <w:spacing w:val="21"/>
          <w:sz w:val="24"/>
        </w:rPr>
        <w:t>期</w:t>
      </w:r>
    </w:p>
    <w:p>
      <w:pPr>
        <w:spacing w:line="360" w:lineRule="auto"/>
        <w:ind w:firstLine="564" w:firstLineChars="200"/>
        <w:rPr>
          <w:rFonts w:ascii="仿宋" w:hAnsi="仿宋" w:eastAsia="仿宋" w:cs="仿宋"/>
          <w:color w:val="auto"/>
          <w:spacing w:val="21"/>
          <w:sz w:val="24"/>
        </w:rPr>
      </w:pPr>
      <w:r>
        <w:rPr>
          <w:rFonts w:hint="eastAsia" w:ascii="仿宋" w:hAnsi="仿宋" w:eastAsia="仿宋" w:cs="仿宋"/>
          <w:color w:val="auto"/>
          <w:spacing w:val="21"/>
          <w:sz w:val="24"/>
        </w:rPr>
        <w:t>质保期</w:t>
      </w:r>
      <w:r>
        <w:rPr>
          <w:rFonts w:hint="eastAsia" w:ascii="仿宋" w:hAnsi="仿宋" w:eastAsia="仿宋" w:cs="仿宋"/>
          <w:color w:val="FF0000"/>
          <w:spacing w:val="21"/>
          <w:sz w:val="24"/>
          <w:lang w:val="en-US" w:eastAsia="zh-CN"/>
        </w:rPr>
        <w:t>3</w:t>
      </w:r>
      <w:r>
        <w:rPr>
          <w:rFonts w:hint="eastAsia" w:ascii="仿宋" w:hAnsi="仿宋" w:eastAsia="仿宋" w:cs="仿宋"/>
          <w:color w:val="auto"/>
          <w:spacing w:val="21"/>
          <w:sz w:val="24"/>
        </w:rPr>
        <w:t>年。</w:t>
      </w:r>
    </w:p>
    <w:p>
      <w:pPr>
        <w:spacing w:line="360" w:lineRule="auto"/>
        <w:rPr>
          <w:rFonts w:ascii="仿宋" w:hAnsi="仿宋" w:eastAsia="仿宋" w:cs="仿宋"/>
          <w:color w:val="auto"/>
          <w:sz w:val="24"/>
        </w:rPr>
      </w:pPr>
      <w:r>
        <w:rPr>
          <w:rFonts w:ascii="仿宋" w:hAnsi="仿宋" w:eastAsia="仿宋" w:cs="仿宋"/>
          <w:color w:val="auto"/>
          <w:spacing w:val="2"/>
          <w:sz w:val="24"/>
        </w:rPr>
        <w:t>2</w:t>
      </w:r>
      <w:r>
        <w:rPr>
          <w:rFonts w:hint="eastAsia" w:ascii="仿宋" w:hAnsi="仿宋" w:eastAsia="仿宋" w:cs="仿宋"/>
          <w:color w:val="auto"/>
          <w:spacing w:val="2"/>
          <w:sz w:val="24"/>
        </w:rPr>
        <w:t>、</w:t>
      </w:r>
      <w:r>
        <w:rPr>
          <w:rFonts w:hint="eastAsia" w:ascii="仿宋" w:hAnsi="仿宋" w:eastAsia="仿宋" w:cs="仿宋"/>
          <w:color w:val="auto"/>
          <w:spacing w:val="4"/>
          <w:sz w:val="24"/>
        </w:rPr>
        <w:t>售后服务</w:t>
      </w:r>
    </w:p>
    <w:p>
      <w:pPr>
        <w:pStyle w:val="2"/>
        <w:ind w:firstLine="480" w:firstLineChars="200"/>
        <w:rPr>
          <w:rFonts w:ascii="仿宋" w:hAnsi="仿宋" w:eastAsia="仿宋" w:cs="仿宋"/>
          <w:color w:val="auto"/>
          <w:sz w:val="24"/>
        </w:rPr>
      </w:pPr>
      <w:r>
        <w:rPr>
          <w:rFonts w:hint="eastAsia" w:ascii="仿宋" w:hAnsi="仿宋" w:eastAsia="仿宋" w:cs="仿宋"/>
          <w:color w:val="auto"/>
          <w:sz w:val="24"/>
        </w:rPr>
        <w:t>中标人负责中心内设备的日常维护、维修所有事务，保证中心正常运行。所有维护、维修费用均由中标人承担。</w:t>
      </w:r>
    </w:p>
    <w:p>
      <w:pPr>
        <w:spacing w:line="360" w:lineRule="auto"/>
        <w:rPr>
          <w:rFonts w:ascii="仿宋" w:hAnsi="仿宋" w:eastAsia="仿宋" w:cs="仿宋"/>
          <w:color w:val="auto"/>
          <w:sz w:val="24"/>
        </w:rPr>
      </w:pPr>
      <w:r>
        <w:rPr>
          <w:rFonts w:ascii="仿宋" w:hAnsi="仿宋" w:eastAsia="仿宋" w:cs="仿宋"/>
          <w:color w:val="auto"/>
          <w:sz w:val="24"/>
        </w:rPr>
        <w:t>3</w:t>
      </w:r>
      <w:r>
        <w:rPr>
          <w:rFonts w:hint="eastAsia" w:ascii="仿宋" w:hAnsi="仿宋" w:eastAsia="仿宋" w:cs="仿宋"/>
          <w:color w:val="auto"/>
          <w:sz w:val="24"/>
        </w:rPr>
        <w:t>、安装调试</w:t>
      </w:r>
    </w:p>
    <w:p>
      <w:pPr>
        <w:spacing w:line="360" w:lineRule="auto"/>
        <w:ind w:firstLine="480" w:firstLineChars="200"/>
        <w:rPr>
          <w:rFonts w:hint="default" w:ascii="仿宋" w:hAnsi="仿宋" w:eastAsia="仿宋" w:cs="仿宋"/>
          <w:color w:val="0000FF"/>
          <w:sz w:val="24"/>
          <w:lang w:val="en-US" w:eastAsia="zh-CN"/>
        </w:rPr>
      </w:pPr>
      <w:r>
        <w:rPr>
          <w:rFonts w:hint="eastAsia" w:ascii="仿宋" w:hAnsi="仿宋" w:eastAsia="仿宋" w:cs="仿宋"/>
          <w:color w:val="auto"/>
          <w:sz w:val="24"/>
        </w:rPr>
        <w:t>3.1安装地点：绍兴</w:t>
      </w:r>
      <w:r>
        <w:rPr>
          <w:rFonts w:hint="eastAsia" w:ascii="仿宋" w:hAnsi="仿宋" w:eastAsia="仿宋" w:cs="仿宋"/>
          <w:color w:val="auto"/>
          <w:sz w:val="24"/>
          <w:lang w:val="en-US" w:eastAsia="zh-CN"/>
        </w:rPr>
        <w:t>第二</w:t>
      </w:r>
      <w:r>
        <w:rPr>
          <w:rFonts w:hint="eastAsia" w:ascii="仿宋" w:hAnsi="仿宋" w:eastAsia="仿宋" w:cs="仿宋"/>
          <w:color w:val="auto"/>
          <w:sz w:val="24"/>
        </w:rPr>
        <w:t>医院</w:t>
      </w:r>
      <w:r>
        <w:rPr>
          <w:rFonts w:hint="eastAsia" w:ascii="仿宋" w:hAnsi="仿宋" w:eastAsia="仿宋" w:cs="仿宋"/>
          <w:color w:val="0000FF"/>
          <w:sz w:val="24"/>
          <w:lang w:val="en-US" w:eastAsia="zh-CN"/>
        </w:rPr>
        <w:t>延安路院区</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3.2 安装标准：符合我国国家有关技术规范要求和技术标准。</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3.3</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安装过程中发生的费用由项目提供方负责。</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 xml:space="preserve">3.4 </w:t>
      </w:r>
      <w:r>
        <w:rPr>
          <w:rFonts w:hint="eastAsia" w:ascii="仿宋" w:hAnsi="仿宋" w:eastAsia="仿宋" w:cs="仿宋"/>
          <w:color w:val="auto"/>
          <w:sz w:val="24"/>
          <w:lang w:val="en-US" w:eastAsia="zh-CN"/>
        </w:rPr>
        <w:t>供应商</w:t>
      </w:r>
      <w:r>
        <w:rPr>
          <w:rFonts w:hint="eastAsia" w:ascii="仿宋" w:hAnsi="仿宋" w:eastAsia="仿宋" w:cs="仿宋"/>
          <w:color w:val="auto"/>
          <w:sz w:val="24"/>
        </w:rPr>
        <w:t>应在投标文件中提供其安装调试过程中医院需配合的</w:t>
      </w:r>
      <w:r>
        <w:rPr>
          <w:rFonts w:hint="eastAsia" w:ascii="仿宋" w:hAnsi="仿宋" w:eastAsia="仿宋" w:cs="仿宋"/>
          <w:color w:val="auto"/>
          <w:spacing w:val="7"/>
          <w:sz w:val="24"/>
        </w:rPr>
        <w:t>内容。</w:t>
      </w:r>
    </w:p>
    <w:p>
      <w:pPr>
        <w:spacing w:line="360" w:lineRule="auto"/>
        <w:rPr>
          <w:rFonts w:ascii="仿宋" w:hAnsi="仿宋" w:eastAsia="仿宋" w:cs="仿宋"/>
          <w:color w:val="auto"/>
          <w:sz w:val="24"/>
        </w:rPr>
      </w:pPr>
      <w:r>
        <w:rPr>
          <w:rFonts w:hint="eastAsia" w:ascii="仿宋" w:hAnsi="仿宋" w:eastAsia="仿宋" w:cs="仿宋"/>
          <w:color w:val="auto"/>
          <w:spacing w:val="2"/>
          <w:sz w:val="24"/>
        </w:rPr>
        <w:t>4、</w:t>
      </w:r>
      <w:r>
        <w:rPr>
          <w:rFonts w:hint="eastAsia" w:ascii="仿宋" w:hAnsi="仿宋" w:eastAsia="仿宋" w:cs="仿宋"/>
          <w:color w:val="auto"/>
          <w:spacing w:val="4"/>
          <w:sz w:val="24"/>
        </w:rPr>
        <w:t>验收</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lang w:val="en-US" w:eastAsia="zh-CN"/>
        </w:rPr>
        <w:t>中标人</w:t>
      </w:r>
      <w:r>
        <w:rPr>
          <w:rFonts w:hint="eastAsia" w:ascii="仿宋" w:hAnsi="仿宋" w:eastAsia="仿宋" w:cs="仿宋"/>
          <w:color w:val="auto"/>
          <w:sz w:val="24"/>
        </w:rPr>
        <w:t>负责确认设备的有效检验文件、设备性能指标、合同内容，双方共同签署验收合格证书，以上验收资料整理后交由采购人存档。</w:t>
      </w:r>
    </w:p>
    <w:p>
      <w:pPr>
        <w:spacing w:line="360" w:lineRule="auto"/>
        <w:rPr>
          <w:rFonts w:ascii="仿宋" w:hAnsi="仿宋" w:eastAsia="仿宋" w:cs="仿宋"/>
          <w:color w:val="auto"/>
          <w:sz w:val="24"/>
        </w:rPr>
      </w:pPr>
      <w:r>
        <w:rPr>
          <w:rFonts w:hint="eastAsia" w:ascii="仿宋" w:hAnsi="仿宋" w:eastAsia="仿宋" w:cs="仿宋"/>
          <w:color w:val="auto"/>
          <w:sz w:val="24"/>
        </w:rPr>
        <w:t>5、交货</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5.1 交货期：中标人需承诺签约后六个月内完成精准诊断中心的相关建设，并投入使用。如因采购人另有要求则按采购人要求执行。</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5.2 交货地点：绍兴</w:t>
      </w:r>
      <w:r>
        <w:rPr>
          <w:rFonts w:hint="eastAsia" w:ascii="仿宋" w:hAnsi="仿宋" w:eastAsia="仿宋" w:cs="仿宋"/>
          <w:color w:val="auto"/>
          <w:sz w:val="24"/>
          <w:lang w:val="en-US" w:eastAsia="zh-CN"/>
        </w:rPr>
        <w:t>第二</w:t>
      </w:r>
      <w:r>
        <w:rPr>
          <w:rFonts w:hint="eastAsia" w:ascii="仿宋" w:hAnsi="仿宋" w:eastAsia="仿宋" w:cs="仿宋"/>
          <w:color w:val="auto"/>
          <w:sz w:val="24"/>
        </w:rPr>
        <w:t>医院</w:t>
      </w:r>
      <w:r>
        <w:rPr>
          <w:rFonts w:hint="eastAsia" w:ascii="仿宋" w:hAnsi="仿宋" w:eastAsia="仿宋" w:cs="仿宋"/>
          <w:color w:val="auto"/>
          <w:sz w:val="24"/>
          <w:lang w:val="en-US" w:eastAsia="zh-CN"/>
        </w:rPr>
        <w:t>延安路院区</w:t>
      </w:r>
      <w:r>
        <w:rPr>
          <w:rFonts w:hint="eastAsia" w:ascii="仿宋" w:hAnsi="仿宋" w:eastAsia="仿宋" w:cs="仿宋"/>
          <w:color w:val="auto"/>
          <w:sz w:val="24"/>
        </w:rPr>
        <w:t>。</w:t>
      </w:r>
    </w:p>
    <w:p>
      <w:pPr>
        <w:spacing w:line="360" w:lineRule="auto"/>
        <w:rPr>
          <w:rFonts w:ascii="仿宋" w:hAnsi="仿宋" w:eastAsia="仿宋" w:cs="仿宋"/>
          <w:color w:val="auto"/>
          <w:sz w:val="24"/>
        </w:rPr>
      </w:pPr>
      <w:r>
        <w:rPr>
          <w:rFonts w:hint="eastAsia" w:ascii="仿宋" w:hAnsi="仿宋" w:eastAsia="仿宋" w:cs="仿宋"/>
          <w:color w:val="auto"/>
          <w:sz w:val="24"/>
        </w:rPr>
        <w:t>6、风险责任：</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6.1在合同期内，如遇收费标准变化或遇国家政策性因素变化，院方不承担因收费标准、成本变化等不可抗力的因素而造成的损失，具体双方友好协商。</w:t>
      </w:r>
    </w:p>
    <w:p>
      <w:pPr>
        <w:spacing w:line="360" w:lineRule="auto"/>
        <w:ind w:firstLine="480" w:firstLineChars="200"/>
        <w:rPr>
          <w:rFonts w:ascii="仿宋" w:hAnsi="仿宋" w:eastAsia="仿宋" w:cs="仿宋"/>
          <w:color w:val="auto"/>
        </w:rPr>
      </w:pPr>
      <w:r>
        <w:rPr>
          <w:rFonts w:hint="eastAsia" w:ascii="仿宋" w:hAnsi="仿宋" w:eastAsia="仿宋" w:cs="仿宋"/>
          <w:color w:val="auto"/>
          <w:sz w:val="24"/>
        </w:rPr>
        <w:t>6.2合同期内物价收费标准的调整：当地物价部门规定的收费标准发生变动时，根据物价收费调整，按调整后的收费标准×服务费收费比例执行；如物价收费标准下降，按下降后的收费标准×服务费收费比例执行。</w:t>
      </w:r>
    </w:p>
    <w:p>
      <w:pPr>
        <w:spacing w:line="360" w:lineRule="auto"/>
        <w:rPr>
          <w:rFonts w:ascii="仿宋" w:hAnsi="仿宋" w:eastAsia="仿宋" w:cs="仿宋"/>
          <w:color w:val="auto"/>
          <w:sz w:val="24"/>
        </w:rPr>
      </w:pPr>
      <w:r>
        <w:rPr>
          <w:rFonts w:hint="eastAsia" w:ascii="仿宋" w:hAnsi="仿宋" w:eastAsia="仿宋" w:cs="仿宋"/>
          <w:color w:val="auto"/>
          <w:sz w:val="24"/>
        </w:rPr>
        <w:t>7、服务承诺：</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7.1服务合作期内，采购人因业务发展，需要对设备进行更新或升级的，中标人应无条件配合。</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7.2中标人需提供设备运行维护人员，应在两个工作日之内解决科室内设备运行的故障，确保检测业务的正常运行。如果不能在规定时间内完成的，院方可以自行联系维修，维修费用由供应商承担，期间中标人需解决标本的检测问题；如不能解决，院方可以自行外送检测，所有费用在结算技术服务费时从中扣除。</w:t>
      </w:r>
    </w:p>
    <w:p>
      <w:pPr>
        <w:pStyle w:val="2"/>
        <w:numPr>
          <w:ilvl w:val="0"/>
          <w:numId w:val="1"/>
        </w:numPr>
        <w:rPr>
          <w:rFonts w:hint="eastAsia" w:ascii="仿宋" w:hAnsi="仿宋" w:eastAsia="仿宋" w:cs="仿宋"/>
          <w:color w:val="auto"/>
          <w:sz w:val="24"/>
          <w:lang w:eastAsia="zh-CN"/>
        </w:rPr>
      </w:pPr>
      <w:r>
        <w:rPr>
          <w:rFonts w:hint="eastAsia" w:ascii="仿宋" w:hAnsi="仿宋" w:eastAsia="仿宋" w:cs="仿宋"/>
          <w:color w:val="auto"/>
          <w:sz w:val="24"/>
          <w:lang w:val="en-US" w:eastAsia="zh-CN"/>
        </w:rPr>
        <w:t>违约责任：</w:t>
      </w:r>
      <w:r>
        <w:rPr>
          <w:rFonts w:hint="eastAsia" w:ascii="仿宋" w:hAnsi="仿宋" w:eastAsia="仿宋" w:cs="仿宋"/>
          <w:color w:val="auto"/>
          <w:sz w:val="24"/>
        </w:rPr>
        <w:t>如果</w:t>
      </w:r>
      <w:r>
        <w:rPr>
          <w:rFonts w:hint="eastAsia" w:ascii="仿宋" w:hAnsi="仿宋" w:eastAsia="仿宋" w:cs="仿宋"/>
          <w:color w:val="auto"/>
          <w:sz w:val="24"/>
          <w:lang w:val="en-US" w:eastAsia="zh-CN"/>
        </w:rPr>
        <w:t>中标人</w:t>
      </w:r>
      <w:r>
        <w:rPr>
          <w:rFonts w:hint="eastAsia" w:ascii="仿宋" w:hAnsi="仿宋" w:eastAsia="仿宋" w:cs="仿宋"/>
          <w:color w:val="auto"/>
          <w:sz w:val="24"/>
        </w:rPr>
        <w:t>没有按照合同约定提供服务，</w:t>
      </w:r>
      <w:r>
        <w:rPr>
          <w:rFonts w:hint="eastAsia" w:ascii="仿宋" w:hAnsi="仿宋" w:eastAsia="仿宋" w:cs="仿宋"/>
          <w:color w:val="auto"/>
          <w:sz w:val="24"/>
          <w:lang w:val="en-US" w:eastAsia="zh-CN"/>
        </w:rPr>
        <w:t>采购人有权</w:t>
      </w:r>
      <w:r>
        <w:rPr>
          <w:rFonts w:hint="eastAsia" w:ascii="仿宋" w:hAnsi="仿宋" w:eastAsia="仿宋" w:cs="仿宋"/>
          <w:color w:val="auto"/>
          <w:sz w:val="24"/>
        </w:rPr>
        <w:t>没收全部履约保证金</w:t>
      </w:r>
      <w:r>
        <w:rPr>
          <w:rFonts w:hint="eastAsia" w:ascii="仿宋" w:hAnsi="仿宋" w:eastAsia="仿宋" w:cs="仿宋"/>
          <w:color w:val="auto"/>
          <w:sz w:val="24"/>
          <w:lang w:val="en-US" w:eastAsia="zh-CN"/>
        </w:rPr>
        <w:t>并</w:t>
      </w:r>
      <w:r>
        <w:rPr>
          <w:rFonts w:hint="eastAsia" w:ascii="仿宋" w:hAnsi="仿宋" w:eastAsia="仿宋" w:cs="仿宋"/>
          <w:color w:val="auto"/>
          <w:sz w:val="24"/>
        </w:rPr>
        <w:t>追究法律责任，同时</w:t>
      </w:r>
      <w:r>
        <w:rPr>
          <w:rFonts w:hint="eastAsia" w:ascii="仿宋" w:hAnsi="仿宋" w:eastAsia="仿宋" w:cs="仿宋"/>
          <w:color w:val="auto"/>
          <w:sz w:val="24"/>
          <w:lang w:val="en-US" w:eastAsia="zh-CN"/>
        </w:rPr>
        <w:t>采购人</w:t>
      </w:r>
      <w:r>
        <w:rPr>
          <w:rFonts w:hint="eastAsia" w:ascii="仿宋" w:hAnsi="仿宋" w:eastAsia="仿宋" w:cs="仿宋"/>
          <w:color w:val="auto"/>
          <w:sz w:val="24"/>
        </w:rPr>
        <w:t>有权解除合同</w:t>
      </w:r>
      <w:r>
        <w:rPr>
          <w:rFonts w:hint="eastAsia" w:ascii="仿宋" w:hAnsi="仿宋" w:eastAsia="仿宋" w:cs="仿宋"/>
          <w:color w:val="auto"/>
          <w:sz w:val="24"/>
          <w:lang w:eastAsia="zh-CN"/>
        </w:rPr>
        <w:t>。</w:t>
      </w:r>
    </w:p>
    <w:p>
      <w:pPr>
        <w:pStyle w:val="2"/>
        <w:numPr>
          <w:ilvl w:val="0"/>
          <w:numId w:val="0"/>
        </w:numPr>
        <w:rPr>
          <w:rFonts w:ascii="仿宋" w:hAnsi="仿宋" w:eastAsia="仿宋" w:cs="仿宋"/>
          <w:color w:val="auto"/>
          <w:sz w:val="24"/>
        </w:rPr>
      </w:pPr>
      <w:r>
        <w:rPr>
          <w:rFonts w:hint="eastAsia" w:ascii="仿宋" w:hAnsi="仿宋" w:eastAsia="仿宋" w:cs="仿宋"/>
          <w:color w:val="auto"/>
          <w:sz w:val="24"/>
          <w:lang w:val="en-US" w:eastAsia="zh-CN"/>
        </w:rPr>
        <w:t>9、</w:t>
      </w:r>
      <w:r>
        <w:rPr>
          <w:rFonts w:hint="eastAsia" w:ascii="仿宋" w:hAnsi="仿宋" w:eastAsia="仿宋" w:cs="仿宋"/>
          <w:color w:val="auto"/>
          <w:sz w:val="24"/>
        </w:rPr>
        <w:t>合同期满后，因再次招标至中标人改变，中标人必须协助采购人做好衔接工作。</w:t>
      </w:r>
    </w:p>
    <w:p>
      <w:pPr>
        <w:pStyle w:val="3"/>
        <w:numPr>
          <w:ilvl w:val="0"/>
          <w:numId w:val="0"/>
        </w:numPr>
        <w:rPr>
          <w:rFonts w:hint="default"/>
          <w:color w:val="auto"/>
          <w:lang w:val="en-US" w:eastAsia="zh-CN"/>
        </w:rPr>
      </w:pPr>
    </w:p>
    <w:p>
      <w:pPr>
        <w:spacing w:line="360" w:lineRule="auto"/>
        <w:rPr>
          <w:color w:val="auto"/>
        </w:rPr>
      </w:pPr>
      <w:r>
        <w:rPr>
          <w:rFonts w:hint="eastAsia" w:ascii="仿宋" w:hAnsi="仿宋" w:eastAsia="仿宋" w:cs="仿宋"/>
          <w:b/>
          <w:bCs/>
          <w:color w:val="auto"/>
          <w:spacing w:val="-3"/>
          <w:sz w:val="24"/>
          <w:lang w:val="en-US" w:eastAsia="zh-CN"/>
        </w:rPr>
        <w:t>七</w:t>
      </w:r>
      <w:r>
        <w:rPr>
          <w:rFonts w:hint="eastAsia" w:ascii="仿宋" w:hAnsi="仿宋" w:eastAsia="仿宋" w:cs="仿宋"/>
          <w:b/>
          <w:bCs/>
          <w:color w:val="auto"/>
          <w:spacing w:val="-3"/>
          <w:sz w:val="24"/>
        </w:rPr>
        <w:t>、报价</w:t>
      </w:r>
    </w:p>
    <w:p>
      <w:pPr>
        <w:spacing w:line="360" w:lineRule="auto"/>
        <w:rPr>
          <w:rFonts w:hint="eastAsia" w:ascii="仿宋" w:hAnsi="仿宋" w:eastAsia="仿宋" w:cs="仿宋"/>
          <w:color w:val="auto"/>
          <w:sz w:val="24"/>
        </w:rPr>
      </w:pPr>
      <w:r>
        <w:rPr>
          <w:rFonts w:hint="eastAsia" w:ascii="仿宋" w:hAnsi="仿宋" w:eastAsia="仿宋" w:cs="仿宋"/>
          <w:b/>
          <w:bCs/>
          <w:color w:val="auto"/>
          <w:sz w:val="24"/>
        </w:rPr>
        <w:t>1、投标报价：</w:t>
      </w:r>
      <w:r>
        <w:rPr>
          <w:rFonts w:hint="eastAsia" w:ascii="仿宋" w:hAnsi="仿宋" w:eastAsia="仿宋" w:cs="仿宋"/>
          <w:color w:val="auto"/>
          <w:sz w:val="24"/>
        </w:rPr>
        <w:t>投标报价为技术服务费的折扣，即技术服务费占</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业务总收入的百分比</w:t>
      </w: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医院按相应折扣支付费用（包括实验室整体规划设计、装修、设备、人员等费用）</w:t>
      </w:r>
      <w:r>
        <w:rPr>
          <w:rFonts w:hint="eastAsia" w:ascii="仿宋" w:hAnsi="仿宋" w:eastAsia="仿宋" w:cs="仿宋"/>
          <w:color w:val="auto"/>
          <w:sz w:val="24"/>
        </w:rPr>
        <w:t>。</w:t>
      </w:r>
    </w:p>
    <w:p>
      <w:pPr>
        <w:spacing w:line="360" w:lineRule="auto"/>
        <w:rPr>
          <w:rFonts w:ascii="仿宋" w:hAnsi="仿宋" w:eastAsia="仿宋" w:cs="仿宋"/>
          <w:b/>
          <w:bCs/>
          <w:color w:val="auto"/>
          <w:sz w:val="24"/>
        </w:rPr>
      </w:pPr>
      <w:r>
        <w:rPr>
          <w:rFonts w:hint="eastAsia" w:ascii="仿宋" w:hAnsi="仿宋" w:eastAsia="仿宋" w:cs="仿宋"/>
          <w:b/>
          <w:bCs/>
          <w:color w:val="auto"/>
          <w:sz w:val="24"/>
          <w:lang w:val="en-US" w:eastAsia="zh-CN"/>
        </w:rPr>
        <w:t>2</w:t>
      </w:r>
      <w:r>
        <w:rPr>
          <w:rFonts w:hint="eastAsia" w:ascii="仿宋" w:hAnsi="仿宋" w:eastAsia="仿宋" w:cs="仿宋"/>
          <w:b/>
          <w:bCs/>
          <w:color w:val="auto"/>
          <w:sz w:val="24"/>
        </w:rPr>
        <w:t xml:space="preserve">、服务费的结算： </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采购人“</w:t>
      </w:r>
      <w:r>
        <w:rPr>
          <w:rFonts w:hint="eastAsia" w:ascii="仿宋" w:hAnsi="仿宋" w:eastAsia="仿宋" w:cs="仿宋"/>
          <w:color w:val="auto"/>
          <w:sz w:val="24"/>
          <w:lang w:eastAsia="zh-CN"/>
        </w:rPr>
        <w:t>精准医学中心</w:t>
      </w:r>
      <w:r>
        <w:rPr>
          <w:rFonts w:hint="eastAsia" w:ascii="仿宋" w:hAnsi="仿宋" w:eastAsia="仿宋" w:cs="仿宋"/>
          <w:color w:val="auto"/>
          <w:sz w:val="24"/>
        </w:rPr>
        <w:t xml:space="preserve">”平台开展的项目，统一由采购人依据浙江省物价局的医疗服务收费标准进行规范收费，确定标准收入。 </w:t>
      </w:r>
    </w:p>
    <w:p>
      <w:pPr>
        <w:spacing w:line="360" w:lineRule="auto"/>
        <w:rPr>
          <w:rFonts w:ascii="仿宋" w:hAnsi="仿宋" w:eastAsia="仿宋" w:cs="仿宋"/>
          <w:color w:val="auto"/>
          <w:sz w:val="24"/>
        </w:rPr>
      </w:pPr>
      <w:r>
        <w:rPr>
          <w:rFonts w:hint="eastAsia" w:ascii="仿宋" w:hAnsi="仿宋" w:eastAsia="仿宋" w:cs="仿宋"/>
          <w:color w:val="auto"/>
          <w:sz w:val="24"/>
        </w:rPr>
        <w:t xml:space="preserve">采购人按以下公式向中标人支付服务费，中标人开具相关服务费发票： </w:t>
      </w:r>
    </w:p>
    <w:p>
      <w:pPr>
        <w:spacing w:line="360" w:lineRule="auto"/>
        <w:rPr>
          <w:rFonts w:ascii="仿宋" w:hAnsi="仿宋" w:eastAsia="仿宋" w:cs="仿宋"/>
          <w:color w:val="auto"/>
          <w:sz w:val="24"/>
        </w:rPr>
      </w:pPr>
      <w:r>
        <w:rPr>
          <w:rFonts w:hint="eastAsia" w:ascii="仿宋" w:hAnsi="仿宋" w:eastAsia="仿宋" w:cs="仿宋"/>
          <w:color w:val="auto"/>
          <w:sz w:val="24"/>
        </w:rPr>
        <w:t>采购人应向中标人支付的服务费=标准收入*____%；</w:t>
      </w:r>
    </w:p>
    <w:p>
      <w:pPr>
        <w:spacing w:line="360" w:lineRule="auto"/>
        <w:rPr>
          <w:rFonts w:ascii="仿宋" w:hAnsi="仿宋" w:eastAsia="仿宋" w:cs="仿宋"/>
          <w:color w:val="auto"/>
          <w:sz w:val="24"/>
        </w:rPr>
      </w:pPr>
      <w:r>
        <w:rPr>
          <w:rFonts w:hint="eastAsia" w:ascii="仿宋" w:hAnsi="仿宋" w:eastAsia="仿宋" w:cs="仿宋"/>
          <w:color w:val="auto"/>
          <w:sz w:val="24"/>
        </w:rPr>
        <w:t>注：1上述标准收入指采购人依据</w:t>
      </w:r>
      <w:r>
        <w:rPr>
          <w:rFonts w:hint="eastAsia" w:ascii="仿宋" w:hAnsi="仿宋" w:eastAsia="仿宋" w:cs="仿宋"/>
          <w:color w:val="FF0000"/>
          <w:sz w:val="24"/>
          <w:lang w:val="en-US" w:eastAsia="zh-CN"/>
        </w:rPr>
        <w:t>采购人行政所在地收费</w:t>
      </w:r>
      <w:r>
        <w:rPr>
          <w:rFonts w:hint="eastAsia" w:ascii="仿宋" w:hAnsi="仿宋" w:eastAsia="仿宋" w:cs="仿宋"/>
          <w:color w:val="FF0000"/>
          <w:sz w:val="24"/>
        </w:rPr>
        <w:t>标准</w:t>
      </w:r>
      <w:r>
        <w:rPr>
          <w:rFonts w:hint="eastAsia" w:ascii="仿宋" w:hAnsi="仿宋" w:eastAsia="仿宋" w:cs="仿宋"/>
          <w:color w:val="auto"/>
          <w:sz w:val="24"/>
        </w:rPr>
        <w:t xml:space="preserve">向患者收取的检测费； </w:t>
      </w:r>
    </w:p>
    <w:p>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2本合同中所涉及项目价格均按</w:t>
      </w:r>
      <w:r>
        <w:rPr>
          <w:rFonts w:hint="eastAsia" w:ascii="仿宋" w:hAnsi="仿宋" w:eastAsia="仿宋" w:cs="仿宋"/>
          <w:color w:val="FF0000"/>
          <w:sz w:val="24"/>
          <w:lang w:val="en-US" w:eastAsia="zh-CN"/>
        </w:rPr>
        <w:t>采购人行政所在地收费</w:t>
      </w:r>
      <w:r>
        <w:rPr>
          <w:rFonts w:hint="eastAsia" w:ascii="仿宋" w:hAnsi="仿宋" w:eastAsia="仿宋" w:cs="仿宋"/>
          <w:color w:val="FF0000"/>
          <w:sz w:val="24"/>
        </w:rPr>
        <w:t>标准</w:t>
      </w:r>
      <w:r>
        <w:rPr>
          <w:rFonts w:hint="eastAsia" w:ascii="仿宋" w:hAnsi="仿宋" w:eastAsia="仿宋" w:cs="仿宋"/>
          <w:color w:val="auto"/>
          <w:sz w:val="24"/>
        </w:rPr>
        <w:t>执行，医院自主收费项目则按医院 HIS 收费标准执行。</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3人力、技术能力的投入、设备的投入、试剂耗材成本均已包含在技术服务费内。</w:t>
      </w:r>
    </w:p>
    <w:p>
      <w:pPr>
        <w:pStyle w:val="2"/>
        <w:ind w:firstLine="482" w:firstLineChars="200"/>
        <w:rPr>
          <w:rFonts w:hint="eastAsia" w:eastAsia="仿宋"/>
          <w:b/>
          <w:bCs/>
          <w:color w:val="FF0000"/>
          <w:lang w:val="en-US" w:eastAsia="zh-CN"/>
        </w:rPr>
      </w:pPr>
      <w:r>
        <w:rPr>
          <w:rFonts w:hint="eastAsia" w:ascii="仿宋" w:hAnsi="仿宋" w:eastAsia="仿宋" w:cs="仿宋"/>
          <w:b/>
          <w:bCs/>
          <w:color w:val="auto"/>
          <w:sz w:val="24"/>
          <w:lang w:val="en-US" w:eastAsia="zh-CN"/>
        </w:rPr>
        <w:t>4</w:t>
      </w:r>
      <w:r>
        <w:rPr>
          <w:rFonts w:hint="eastAsia" w:ascii="仿宋" w:hAnsi="仿宋" w:eastAsia="仿宋" w:cs="仿宋"/>
          <w:b w:val="0"/>
          <w:bCs w:val="0"/>
          <w:color w:val="auto"/>
          <w:sz w:val="24"/>
          <w:lang w:val="en-US" w:eastAsia="zh-CN"/>
        </w:rPr>
        <w:t>因考虑到场地等实际原因，</w:t>
      </w:r>
      <w:r>
        <w:rPr>
          <w:rFonts w:hint="eastAsia" w:ascii="仿宋" w:hAnsi="仿宋" w:eastAsia="仿宋" w:cs="仿宋"/>
          <w:b w:val="0"/>
          <w:bCs w:val="0"/>
          <w:color w:val="FF0000"/>
          <w:sz w:val="24"/>
          <w:lang w:val="en-US" w:eastAsia="zh-CN"/>
        </w:rPr>
        <w:t>相关实验室场地建设完成约定为6个月</w:t>
      </w:r>
      <w:r>
        <w:rPr>
          <w:rFonts w:hint="eastAsia" w:ascii="仿宋" w:hAnsi="仿宋" w:eastAsia="仿宋" w:cs="仿宋"/>
          <w:b w:val="0"/>
          <w:bCs w:val="0"/>
          <w:color w:val="auto"/>
          <w:sz w:val="24"/>
          <w:lang w:val="en-US" w:eastAsia="zh-CN"/>
        </w:rPr>
        <w:t>。</w:t>
      </w:r>
      <w:r>
        <w:rPr>
          <w:rFonts w:hint="eastAsia" w:ascii="仿宋" w:hAnsi="仿宋" w:eastAsia="仿宋" w:cs="仿宋"/>
          <w:b w:val="0"/>
          <w:bCs w:val="0"/>
          <w:color w:val="FF0000"/>
          <w:sz w:val="24"/>
          <w:lang w:val="en-US" w:eastAsia="zh-CN"/>
        </w:rPr>
        <w:t>在二代测序等项目实现本地化检测之前的其他项目服务费用，</w:t>
      </w:r>
      <w:r>
        <w:rPr>
          <w:rFonts w:hint="eastAsia" w:ascii="仿宋" w:hAnsi="仿宋" w:eastAsia="仿宋" w:cs="仿宋"/>
          <w:b/>
          <w:bCs/>
          <w:color w:val="FF0000"/>
          <w:sz w:val="24"/>
          <w:lang w:val="en-US" w:eastAsia="zh-CN"/>
        </w:rPr>
        <w:t>医院按照中标折扣价高通量测序下调12个百分比（即中标折扣如为75%，则实际支付折扣为63%）、其他下调25个百分点支付给中标单位。</w:t>
      </w:r>
    </w:p>
    <w:p>
      <w:pPr>
        <w:spacing w:line="360" w:lineRule="auto"/>
        <w:rPr>
          <w:rFonts w:ascii="仿宋" w:hAnsi="仿宋" w:eastAsia="仿宋" w:cs="仿宋"/>
          <w:b/>
          <w:color w:val="auto"/>
          <w:spacing w:val="1"/>
          <w:sz w:val="24"/>
        </w:rPr>
      </w:pPr>
      <w:r>
        <w:rPr>
          <w:rFonts w:hint="eastAsia" w:ascii="仿宋" w:hAnsi="仿宋" w:eastAsia="仿宋" w:cs="仿宋"/>
          <w:b/>
          <w:color w:val="auto"/>
          <w:spacing w:val="1"/>
          <w:sz w:val="24"/>
        </w:rPr>
        <w:t>附件1 供应商需投入的设备清单</w:t>
      </w:r>
    </w:p>
    <w:tbl>
      <w:tblPr>
        <w:tblStyle w:val="6"/>
        <w:tblW w:w="0" w:type="auto"/>
        <w:tblInd w:w="104"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108" w:type="dxa"/>
          <w:bottom w:w="0" w:type="dxa"/>
          <w:right w:w="108" w:type="dxa"/>
        </w:tblCellMar>
      </w:tblPr>
      <w:tblGrid>
        <w:gridCol w:w="1060"/>
        <w:gridCol w:w="4808"/>
        <w:gridCol w:w="2550"/>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060" w:type="dxa"/>
            <w:tcBorders>
              <w:tl2br w:val="nil"/>
              <w:tr2bl w:val="nil"/>
            </w:tcBorders>
            <w:vAlign w:val="center"/>
          </w:tcPr>
          <w:p>
            <w:pPr>
              <w:textAlignment w:val="center"/>
              <w:rPr>
                <w:rFonts w:ascii="仿宋" w:hAnsi="仿宋" w:eastAsia="仿宋" w:cs="仿宋"/>
                <w:b/>
                <w:bCs/>
                <w:color w:val="auto"/>
              </w:rPr>
            </w:pPr>
            <w:r>
              <w:rPr>
                <w:rFonts w:hint="eastAsia" w:ascii="仿宋" w:hAnsi="仿宋" w:eastAsia="仿宋" w:cs="仿宋"/>
                <w:b/>
                <w:bCs/>
                <w:color w:val="auto"/>
              </w:rPr>
              <w:t>序号</w:t>
            </w:r>
          </w:p>
        </w:tc>
        <w:tc>
          <w:tcPr>
            <w:tcW w:w="4809" w:type="dxa"/>
            <w:tcBorders>
              <w:tl2br w:val="nil"/>
              <w:tr2bl w:val="nil"/>
            </w:tcBorders>
            <w:vAlign w:val="center"/>
          </w:tcPr>
          <w:p>
            <w:pPr>
              <w:textAlignment w:val="center"/>
              <w:rPr>
                <w:rFonts w:ascii="仿宋" w:hAnsi="仿宋" w:eastAsia="仿宋" w:cs="仿宋"/>
                <w:b/>
                <w:bCs/>
                <w:color w:val="auto"/>
              </w:rPr>
            </w:pPr>
            <w:r>
              <w:rPr>
                <w:rFonts w:hint="eastAsia" w:ascii="仿宋" w:hAnsi="仿宋" w:eastAsia="仿宋" w:cs="仿宋"/>
                <w:b/>
                <w:bCs/>
                <w:color w:val="auto"/>
              </w:rPr>
              <w:t>仪器名称</w:t>
            </w:r>
          </w:p>
        </w:tc>
        <w:tc>
          <w:tcPr>
            <w:tcW w:w="2550" w:type="dxa"/>
            <w:tcBorders>
              <w:tl2br w:val="nil"/>
              <w:tr2bl w:val="nil"/>
            </w:tcBorders>
            <w:vAlign w:val="center"/>
          </w:tcPr>
          <w:p>
            <w:pPr>
              <w:textAlignment w:val="center"/>
              <w:rPr>
                <w:rFonts w:ascii="仿宋" w:hAnsi="仿宋" w:eastAsia="仿宋" w:cs="仿宋"/>
                <w:b/>
                <w:bCs/>
                <w:color w:val="auto"/>
              </w:rPr>
            </w:pPr>
            <w:r>
              <w:rPr>
                <w:rFonts w:hint="eastAsia" w:ascii="仿宋" w:hAnsi="仿宋" w:eastAsia="仿宋" w:cs="仿宋"/>
                <w:b/>
                <w:bCs/>
                <w:color w:val="auto"/>
              </w:rPr>
              <w:t>数量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06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1</w:t>
            </w:r>
          </w:p>
        </w:tc>
        <w:tc>
          <w:tcPr>
            <w:tcW w:w="4809"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高通量测序仪</w:t>
            </w:r>
          </w:p>
        </w:tc>
        <w:tc>
          <w:tcPr>
            <w:tcW w:w="255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1台</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06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2</w:t>
            </w:r>
          </w:p>
        </w:tc>
        <w:tc>
          <w:tcPr>
            <w:tcW w:w="4809"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开展高通量测序项目检测所需辅助设备</w:t>
            </w:r>
          </w:p>
        </w:tc>
        <w:tc>
          <w:tcPr>
            <w:tcW w:w="255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若干(高通量测序平台辅助设备清单）</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06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3</w:t>
            </w:r>
          </w:p>
        </w:tc>
        <w:tc>
          <w:tcPr>
            <w:tcW w:w="4809"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液相色谱质谱联用仪</w:t>
            </w:r>
          </w:p>
        </w:tc>
        <w:tc>
          <w:tcPr>
            <w:tcW w:w="255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1台</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06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4</w:t>
            </w:r>
          </w:p>
        </w:tc>
        <w:tc>
          <w:tcPr>
            <w:tcW w:w="4809"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开展质谱项目所需辅助设备</w:t>
            </w:r>
          </w:p>
        </w:tc>
        <w:tc>
          <w:tcPr>
            <w:tcW w:w="2550" w:type="dxa"/>
            <w:tcBorders>
              <w:tl2br w:val="nil"/>
              <w:tr2bl w:val="nil"/>
            </w:tcBorders>
            <w:vAlign w:val="center"/>
          </w:tcPr>
          <w:p>
            <w:pPr>
              <w:textAlignment w:val="center"/>
              <w:rPr>
                <w:rFonts w:ascii="仿宋" w:hAnsi="仿宋" w:eastAsia="仿宋" w:cs="仿宋"/>
                <w:color w:val="auto"/>
              </w:rPr>
            </w:pPr>
            <w:r>
              <w:rPr>
                <w:rFonts w:hint="eastAsia" w:ascii="仿宋" w:hAnsi="仿宋" w:eastAsia="仿宋" w:cs="仿宋"/>
                <w:color w:val="auto"/>
              </w:rPr>
              <w:t>若干(串联质谱平台辅助设备清单）</w:t>
            </w:r>
          </w:p>
        </w:tc>
      </w:tr>
    </w:tbl>
    <w:p>
      <w:pPr>
        <w:textAlignment w:val="center"/>
        <w:rPr>
          <w:rFonts w:ascii="仿宋" w:hAnsi="仿宋" w:eastAsia="仿宋" w:cs="仿宋"/>
          <w:b/>
          <w:bCs/>
          <w:color w:val="auto"/>
        </w:rPr>
      </w:pPr>
    </w:p>
    <w:p>
      <w:pPr>
        <w:textAlignment w:val="center"/>
        <w:rPr>
          <w:rFonts w:ascii="仿宋" w:hAnsi="仿宋" w:eastAsia="仿宋" w:cs="仿宋"/>
          <w:b/>
          <w:bCs/>
          <w:color w:val="auto"/>
        </w:rPr>
      </w:pPr>
      <w:r>
        <w:rPr>
          <w:rFonts w:hint="eastAsia" w:ascii="仿宋" w:hAnsi="仿宋" w:eastAsia="仿宋" w:cs="仿宋"/>
          <w:b/>
          <w:bCs/>
          <w:color w:val="auto"/>
        </w:rPr>
        <w:t>1、高通量测序平台辅助设备清单</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2729"/>
        <w:gridCol w:w="40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8" w:hRule="atLeast"/>
        </w:trPr>
        <w:tc>
          <w:tcPr>
            <w:tcW w:w="5000" w:type="pct"/>
            <w:gridSpan w:val="3"/>
            <w:shd w:val="clear" w:color="auto" w:fill="FFFFFF" w:themeFill="background1"/>
            <w:vAlign w:val="center"/>
          </w:tcPr>
          <w:p>
            <w:pPr>
              <w:jc w:val="center"/>
              <w:textAlignment w:val="center"/>
              <w:rPr>
                <w:rFonts w:ascii="仿宋" w:hAnsi="仿宋" w:eastAsia="仿宋" w:cs="仿宋"/>
                <w:b/>
                <w:bCs/>
                <w:color w:val="auto"/>
              </w:rPr>
            </w:pPr>
            <w:r>
              <w:rPr>
                <w:rFonts w:hint="eastAsia" w:ascii="仿宋" w:hAnsi="仿宋" w:eastAsia="仿宋" w:cs="仿宋"/>
                <w:b/>
                <w:bCs/>
                <w:color w:val="auto"/>
              </w:rPr>
              <w:t>高通量测序平台辅助设备清单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8" w:hRule="atLeast"/>
        </w:trPr>
        <w:tc>
          <w:tcPr>
            <w:tcW w:w="1602" w:type="pct"/>
            <w:shd w:val="clear" w:color="auto" w:fill="FFFFFF" w:themeFill="background1"/>
            <w:vAlign w:val="center"/>
          </w:tcPr>
          <w:p>
            <w:pPr>
              <w:jc w:val="center"/>
              <w:textAlignment w:val="center"/>
              <w:rPr>
                <w:rFonts w:ascii="仿宋" w:hAnsi="仿宋" w:eastAsia="仿宋" w:cs="仿宋"/>
                <w:b/>
                <w:bCs/>
                <w:color w:val="auto"/>
              </w:rPr>
            </w:pPr>
            <w:r>
              <w:rPr>
                <w:rFonts w:hint="eastAsia" w:ascii="仿宋" w:hAnsi="仿宋" w:eastAsia="仿宋" w:cs="仿宋"/>
                <w:b/>
                <w:bCs/>
                <w:color w:val="auto"/>
              </w:rPr>
              <w:t>区域</w:t>
            </w:r>
          </w:p>
        </w:tc>
        <w:tc>
          <w:tcPr>
            <w:tcW w:w="2377" w:type="pct"/>
            <w:shd w:val="clear" w:color="auto" w:fill="FFFFFF" w:themeFill="background1"/>
            <w:vAlign w:val="center"/>
          </w:tcPr>
          <w:p>
            <w:pPr>
              <w:jc w:val="center"/>
              <w:textAlignment w:val="center"/>
              <w:rPr>
                <w:rFonts w:ascii="仿宋" w:hAnsi="仿宋" w:eastAsia="仿宋" w:cs="仿宋"/>
                <w:b/>
                <w:bCs/>
                <w:color w:val="auto"/>
              </w:rPr>
            </w:pPr>
            <w:r>
              <w:rPr>
                <w:rFonts w:hint="eastAsia" w:ascii="仿宋" w:hAnsi="仿宋" w:eastAsia="仿宋" w:cs="仿宋"/>
                <w:b/>
                <w:bCs/>
                <w:color w:val="auto"/>
              </w:rPr>
              <w:t>仪器名称</w:t>
            </w:r>
          </w:p>
        </w:tc>
        <w:tc>
          <w:tcPr>
            <w:tcW w:w="1019" w:type="pct"/>
            <w:shd w:val="clear" w:color="auto" w:fill="FFFFFF" w:themeFill="background1"/>
            <w:vAlign w:val="center"/>
          </w:tcPr>
          <w:p>
            <w:pPr>
              <w:jc w:val="center"/>
              <w:textAlignment w:val="center"/>
              <w:rPr>
                <w:rFonts w:ascii="仿宋" w:hAnsi="仿宋" w:eastAsia="仿宋" w:cs="仿宋"/>
                <w:b/>
                <w:bCs/>
                <w:color w:val="auto"/>
              </w:rPr>
            </w:pPr>
            <w:r>
              <w:rPr>
                <w:rFonts w:hint="eastAsia" w:ascii="仿宋" w:hAnsi="仿宋" w:eastAsia="仿宋" w:cs="仿宋"/>
                <w:b/>
                <w:bCs/>
                <w:color w:val="auto"/>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restart"/>
            <w:shd w:val="clear" w:color="auto" w:fill="FFFFFF" w:themeFill="background1"/>
            <w:vAlign w:val="center"/>
          </w:tcPr>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r>
              <w:rPr>
                <w:rFonts w:hint="eastAsia" w:ascii="仿宋" w:hAnsi="仿宋" w:eastAsia="仿宋" w:cs="仿宋"/>
                <w:color w:val="auto"/>
              </w:rPr>
              <w:t>一区</w:t>
            </w:r>
          </w:p>
          <w:p>
            <w:pPr>
              <w:jc w:val="center"/>
              <w:textAlignment w:val="center"/>
              <w:rPr>
                <w:rFonts w:ascii="仿宋" w:hAnsi="仿宋" w:eastAsia="仿宋" w:cs="仿宋"/>
                <w:color w:val="auto"/>
              </w:rPr>
            </w:pPr>
            <w:r>
              <w:rPr>
                <w:rFonts w:hint="eastAsia" w:ascii="仿宋" w:hAnsi="仿宋" w:eastAsia="仿宋" w:cs="仿宋"/>
                <w:color w:val="auto"/>
              </w:rPr>
              <w:t>（试剂准备区）</w:t>
            </w: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移液枪2.5ul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超净工作台</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Mini-centrif</w:t>
            </w:r>
            <w:r>
              <w:rPr>
                <w:rFonts w:hint="eastAsia" w:ascii="仿宋" w:hAnsi="仿宋" w:eastAsia="仿宋" w:cs="仿宋"/>
                <w:color w:val="auto"/>
                <w:lang w:val="en-US" w:eastAsia="zh-CN"/>
              </w:rPr>
              <w:t>u</w:t>
            </w:r>
            <w:r>
              <w:rPr>
                <w:rFonts w:hint="eastAsia" w:ascii="仿宋" w:hAnsi="仿宋" w:eastAsia="仿宋" w:cs="仿宋"/>
                <w:color w:val="auto"/>
              </w:rPr>
              <w:t>g</w:t>
            </w:r>
            <w:r>
              <w:rPr>
                <w:rFonts w:hint="eastAsia" w:ascii="仿宋" w:hAnsi="仿宋" w:eastAsia="仿宋" w:cs="仿宋"/>
                <w:color w:val="auto"/>
                <w:lang w:val="en-US" w:eastAsia="zh-CN"/>
              </w:rPr>
              <w:t>e</w:t>
            </w:r>
            <w:r>
              <w:rPr>
                <w:rFonts w:hint="eastAsia" w:ascii="仿宋" w:hAnsi="仿宋" w:eastAsia="仿宋" w:cs="仿宋"/>
                <w:color w:val="auto"/>
              </w:rPr>
              <w:t>迷你离心机，1.5ml，200ul两个转头</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医用冷藏冷冻冰箱</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Vortex-Genie漩涡混合器</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restar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二区</w:t>
            </w:r>
          </w:p>
          <w:p>
            <w:pPr>
              <w:jc w:val="center"/>
              <w:textAlignment w:val="center"/>
              <w:rPr>
                <w:rFonts w:ascii="仿宋" w:hAnsi="仿宋" w:eastAsia="仿宋" w:cs="仿宋"/>
                <w:color w:val="auto"/>
              </w:rPr>
            </w:pPr>
            <w:r>
              <w:rPr>
                <w:rFonts w:hint="eastAsia" w:ascii="仿宋" w:hAnsi="仿宋" w:eastAsia="仿宋" w:cs="仿宋"/>
                <w:color w:val="auto"/>
              </w:rPr>
              <w:t>（样本制备区）</w:t>
            </w: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移液枪2.5ul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2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生物安全柜（半排）</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Mini-centrif</w:t>
            </w:r>
            <w:r>
              <w:rPr>
                <w:rFonts w:hint="eastAsia" w:ascii="仿宋" w:hAnsi="仿宋" w:eastAsia="仿宋" w:cs="仿宋"/>
                <w:color w:val="auto"/>
                <w:lang w:val="en-US" w:eastAsia="zh-CN"/>
              </w:rPr>
              <w:t>u</w:t>
            </w:r>
            <w:r>
              <w:rPr>
                <w:rFonts w:hint="eastAsia" w:ascii="仿宋" w:hAnsi="仿宋" w:eastAsia="仿宋" w:cs="仿宋"/>
                <w:color w:val="auto"/>
              </w:rPr>
              <w:t>g</w:t>
            </w:r>
            <w:r>
              <w:rPr>
                <w:rFonts w:hint="eastAsia" w:ascii="仿宋" w:hAnsi="仿宋" w:eastAsia="仿宋" w:cs="仿宋"/>
                <w:color w:val="auto"/>
                <w:lang w:val="en-US" w:eastAsia="zh-CN"/>
              </w:rPr>
              <w:t>e</w:t>
            </w:r>
            <w:r>
              <w:rPr>
                <w:rFonts w:hint="eastAsia" w:ascii="仿宋" w:hAnsi="仿宋" w:eastAsia="仿宋" w:cs="仿宋"/>
                <w:color w:val="auto"/>
              </w:rPr>
              <w:t>迷你离心机，1.5ml，200ul两个转头</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医用冷藏冷冻冰箱</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小型高速冷冻离心机</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9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Vortex-Genie漩涡混合器</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restar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三区</w:t>
            </w:r>
          </w:p>
          <w:p>
            <w:pPr>
              <w:jc w:val="center"/>
              <w:textAlignment w:val="center"/>
              <w:rPr>
                <w:rFonts w:ascii="仿宋" w:hAnsi="仿宋" w:eastAsia="仿宋" w:cs="仿宋"/>
                <w:color w:val="auto"/>
              </w:rPr>
            </w:pPr>
            <w:r>
              <w:rPr>
                <w:rFonts w:hint="eastAsia" w:ascii="仿宋" w:hAnsi="仿宋" w:eastAsia="仿宋" w:cs="仿宋"/>
                <w:color w:val="auto"/>
              </w:rPr>
              <w:t>（组织样本制备区）</w:t>
            </w: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移液枪2.5ul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生物安全柜（半排）</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Mini-centrif</w:t>
            </w:r>
            <w:r>
              <w:rPr>
                <w:rFonts w:hint="eastAsia" w:ascii="仿宋" w:hAnsi="仿宋" w:eastAsia="仿宋" w:cs="仿宋"/>
                <w:color w:val="auto"/>
                <w:lang w:val="en-US" w:eastAsia="zh-CN"/>
              </w:rPr>
              <w:t>u</w:t>
            </w:r>
            <w:r>
              <w:rPr>
                <w:rFonts w:hint="eastAsia" w:ascii="仿宋" w:hAnsi="仿宋" w:eastAsia="仿宋" w:cs="仿宋"/>
                <w:color w:val="auto"/>
              </w:rPr>
              <w:t>g</w:t>
            </w:r>
            <w:r>
              <w:rPr>
                <w:rFonts w:hint="eastAsia" w:ascii="仿宋" w:hAnsi="仿宋" w:eastAsia="仿宋" w:cs="仿宋"/>
                <w:color w:val="auto"/>
                <w:lang w:val="en-US" w:eastAsia="zh-CN"/>
              </w:rPr>
              <w:t>e</w:t>
            </w:r>
            <w:r>
              <w:rPr>
                <w:rFonts w:hint="eastAsia" w:ascii="仿宋" w:hAnsi="仿宋" w:eastAsia="仿宋" w:cs="仿宋"/>
                <w:color w:val="auto"/>
              </w:rPr>
              <w:t>迷你离心机，1.5ml，200ul两个转头</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医用冷藏冷冻冰箱</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小型高速冷冻离心机</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Vortex-Genie漩涡混合器</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恒温混匀仪</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602" w:type="pct"/>
            <w:vMerge w:val="restar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四区</w:t>
            </w:r>
          </w:p>
          <w:p>
            <w:pPr>
              <w:jc w:val="center"/>
              <w:textAlignment w:val="center"/>
              <w:rPr>
                <w:rFonts w:ascii="仿宋" w:hAnsi="仿宋" w:eastAsia="仿宋" w:cs="仿宋"/>
                <w:color w:val="auto"/>
              </w:rPr>
            </w:pPr>
            <w:r>
              <w:rPr>
                <w:rFonts w:hint="eastAsia" w:ascii="仿宋" w:hAnsi="仿宋" w:eastAsia="仿宋" w:cs="仿宋"/>
                <w:color w:val="auto"/>
              </w:rPr>
              <w:t>（文库制备一区）</w:t>
            </w: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普通PCR仪</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移液枪2.5ul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Mini-centrif</w:t>
            </w:r>
            <w:r>
              <w:rPr>
                <w:rFonts w:hint="eastAsia" w:ascii="仿宋" w:hAnsi="仿宋" w:eastAsia="仿宋" w:cs="仿宋"/>
                <w:color w:val="auto"/>
                <w:lang w:val="en-US" w:eastAsia="zh-CN"/>
              </w:rPr>
              <w:t>u</w:t>
            </w:r>
            <w:r>
              <w:rPr>
                <w:rFonts w:hint="eastAsia" w:ascii="仿宋" w:hAnsi="仿宋" w:eastAsia="仿宋" w:cs="仿宋"/>
                <w:color w:val="auto"/>
              </w:rPr>
              <w:t>g</w:t>
            </w:r>
            <w:r>
              <w:rPr>
                <w:rFonts w:hint="eastAsia" w:ascii="仿宋" w:hAnsi="仿宋" w:eastAsia="仿宋" w:cs="仿宋"/>
                <w:color w:val="auto"/>
                <w:lang w:val="en-US" w:eastAsia="zh-CN"/>
              </w:rPr>
              <w:t>e</w:t>
            </w:r>
            <w:r>
              <w:rPr>
                <w:rFonts w:hint="eastAsia" w:ascii="仿宋" w:hAnsi="仿宋" w:eastAsia="仿宋" w:cs="仿宋"/>
                <w:color w:val="auto"/>
              </w:rPr>
              <w:t>迷你离心机，1.5ml，200ul两个转头</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医用冷藏冷冻冰箱</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Vortex-Genie漩涡混合器</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restart"/>
            <w:shd w:val="clear" w:color="auto" w:fill="FFFFFF" w:themeFill="background1"/>
            <w:vAlign w:val="center"/>
          </w:tcPr>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r>
              <w:rPr>
                <w:rFonts w:hint="eastAsia" w:ascii="仿宋" w:hAnsi="仿宋" w:eastAsia="仿宋" w:cs="仿宋"/>
                <w:color w:val="auto"/>
              </w:rPr>
              <w:t>五区</w:t>
            </w:r>
          </w:p>
          <w:p>
            <w:pPr>
              <w:jc w:val="center"/>
              <w:textAlignment w:val="center"/>
              <w:rPr>
                <w:rFonts w:ascii="仿宋" w:hAnsi="仿宋" w:eastAsia="仿宋" w:cs="仿宋"/>
                <w:color w:val="auto"/>
              </w:rPr>
            </w:pPr>
            <w:r>
              <w:rPr>
                <w:rFonts w:hint="eastAsia" w:ascii="仿宋" w:hAnsi="仿宋" w:eastAsia="仿宋" w:cs="仿宋"/>
                <w:color w:val="auto"/>
              </w:rPr>
              <w:t>（文库扩增二区）</w:t>
            </w: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移液枪2.5ul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微孔板迷你离心机</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普通PCR仪</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75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荧光定量PCR仪1</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60" w:hRule="atLeast"/>
        </w:trPr>
        <w:tc>
          <w:tcPr>
            <w:tcW w:w="1602" w:type="pct"/>
            <w:vMerge w:val="restar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六区</w:t>
            </w:r>
          </w:p>
          <w:p>
            <w:pPr>
              <w:jc w:val="center"/>
              <w:textAlignment w:val="center"/>
              <w:rPr>
                <w:rFonts w:ascii="仿宋" w:hAnsi="仿宋" w:eastAsia="仿宋" w:cs="仿宋"/>
                <w:color w:val="auto"/>
              </w:rPr>
            </w:pPr>
            <w:r>
              <w:rPr>
                <w:rFonts w:hint="eastAsia" w:ascii="仿宋" w:hAnsi="仿宋" w:eastAsia="仿宋" w:cs="仿宋"/>
                <w:color w:val="auto"/>
              </w:rPr>
              <w:t>（测序区）</w:t>
            </w: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UPS电源</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千兆网交换机</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0" w:hRule="atLeast"/>
        </w:trPr>
        <w:tc>
          <w:tcPr>
            <w:tcW w:w="1602" w:type="pct"/>
            <w:vMerge w:val="restar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七区</w:t>
            </w:r>
          </w:p>
          <w:p>
            <w:pPr>
              <w:jc w:val="center"/>
              <w:textAlignment w:val="center"/>
              <w:rPr>
                <w:rFonts w:ascii="仿宋" w:hAnsi="仿宋" w:eastAsia="仿宋" w:cs="仿宋"/>
                <w:color w:val="auto"/>
              </w:rPr>
            </w:pPr>
            <w:r>
              <w:rPr>
                <w:rFonts w:hint="eastAsia" w:ascii="仿宋" w:hAnsi="仿宋" w:eastAsia="仿宋" w:cs="仿宋"/>
                <w:color w:val="auto"/>
              </w:rPr>
              <w:t>（电泳区）</w:t>
            </w: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Nanodrop超微量分光光度计</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移液枪200ul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移液枪10ul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移液枪2.5ul</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QubitFluorometer 核酸定量计</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36"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Vortex-Genie漩涡混合器</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640" w:hRule="atLeast"/>
        </w:trPr>
        <w:tc>
          <w:tcPr>
            <w:tcW w:w="1602" w:type="pct"/>
            <w:vMerge w:val="continue"/>
            <w:shd w:val="clear" w:color="auto" w:fill="FFFFFF" w:themeFill="background1"/>
            <w:vAlign w:val="center"/>
          </w:tcPr>
          <w:p>
            <w:pPr>
              <w:jc w:val="center"/>
              <w:rPr>
                <w:rFonts w:ascii="仿宋" w:hAnsi="仿宋" w:eastAsia="仿宋" w:cs="仿宋"/>
                <w:color w:val="auto"/>
              </w:rPr>
            </w:pPr>
          </w:p>
        </w:tc>
        <w:tc>
          <w:tcPr>
            <w:tcW w:w="2377"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Mini-centrif</w:t>
            </w:r>
            <w:r>
              <w:rPr>
                <w:rFonts w:hint="eastAsia" w:ascii="仿宋" w:hAnsi="仿宋" w:eastAsia="仿宋" w:cs="仿宋"/>
                <w:color w:val="auto"/>
                <w:lang w:val="en-US" w:eastAsia="zh-CN"/>
              </w:rPr>
              <w:t>u</w:t>
            </w:r>
            <w:r>
              <w:rPr>
                <w:rFonts w:hint="eastAsia" w:ascii="仿宋" w:hAnsi="仿宋" w:eastAsia="仿宋" w:cs="仿宋"/>
                <w:color w:val="auto"/>
              </w:rPr>
              <w:t>g</w:t>
            </w:r>
            <w:r>
              <w:rPr>
                <w:rFonts w:hint="eastAsia" w:ascii="仿宋" w:hAnsi="仿宋" w:eastAsia="仿宋" w:cs="仿宋"/>
                <w:color w:val="auto"/>
                <w:lang w:val="en-US" w:eastAsia="zh-CN"/>
              </w:rPr>
              <w:t>e</w:t>
            </w:r>
            <w:r>
              <w:rPr>
                <w:rFonts w:hint="eastAsia" w:ascii="仿宋" w:hAnsi="仿宋" w:eastAsia="仿宋" w:cs="仿宋"/>
                <w:color w:val="auto"/>
              </w:rPr>
              <w:t>迷你离心机，1.5ml，200ul两个转头</w:t>
            </w:r>
          </w:p>
        </w:tc>
        <w:tc>
          <w:tcPr>
            <w:tcW w:w="1019" w:type="pct"/>
            <w:shd w:val="clear" w:color="auto" w:fill="FFFFFF" w:themeFill="background1"/>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r>
    </w:tbl>
    <w:p>
      <w:pPr>
        <w:textAlignment w:val="center"/>
        <w:rPr>
          <w:rFonts w:hint="eastAsia" w:ascii="仿宋" w:hAnsi="仿宋" w:eastAsia="仿宋" w:cs="仿宋"/>
          <w:b/>
          <w:bCs/>
          <w:color w:val="auto"/>
        </w:rPr>
      </w:pPr>
    </w:p>
    <w:p>
      <w:pPr>
        <w:textAlignment w:val="center"/>
        <w:rPr>
          <w:rFonts w:ascii="仿宋" w:hAnsi="仿宋" w:eastAsia="仿宋" w:cs="仿宋"/>
          <w:b/>
          <w:bCs/>
          <w:color w:val="auto"/>
        </w:rPr>
      </w:pPr>
      <w:r>
        <w:rPr>
          <w:rFonts w:hint="eastAsia" w:ascii="仿宋" w:hAnsi="仿宋" w:eastAsia="仿宋" w:cs="仿宋"/>
          <w:b/>
          <w:bCs/>
          <w:color w:val="auto"/>
          <w:lang w:val="en-US" w:eastAsia="zh-CN"/>
        </w:rPr>
        <w:t>2.</w:t>
      </w:r>
      <w:r>
        <w:rPr>
          <w:rFonts w:hint="eastAsia" w:ascii="仿宋" w:hAnsi="仿宋" w:eastAsia="仿宋" w:cs="仿宋"/>
          <w:b/>
          <w:bCs/>
          <w:color w:val="auto"/>
        </w:rPr>
        <w:t>串联质谱平台辅助设备清单</w:t>
      </w:r>
    </w:p>
    <w:p>
      <w:pPr>
        <w:rPr>
          <w:rFonts w:ascii="仿宋" w:hAnsi="仿宋" w:eastAsia="仿宋" w:cs="仿宋"/>
          <w:color w:val="auto"/>
        </w:rPr>
      </w:pPr>
    </w:p>
    <w:tbl>
      <w:tblPr>
        <w:tblStyle w:val="6"/>
        <w:tblW w:w="5000" w:type="pct"/>
        <w:tblInd w:w="0" w:type="dxa"/>
        <w:tblLayout w:type="autofit"/>
        <w:tblCellMar>
          <w:top w:w="0" w:type="dxa"/>
          <w:left w:w="108" w:type="dxa"/>
          <w:bottom w:w="0" w:type="dxa"/>
          <w:right w:w="108" w:type="dxa"/>
        </w:tblCellMar>
      </w:tblPr>
      <w:tblGrid>
        <w:gridCol w:w="652"/>
        <w:gridCol w:w="1623"/>
        <w:gridCol w:w="4285"/>
        <w:gridCol w:w="977"/>
        <w:gridCol w:w="985"/>
      </w:tblGrid>
      <w:tr>
        <w:tblPrEx>
          <w:tblCellMar>
            <w:top w:w="0" w:type="dxa"/>
            <w:left w:w="108" w:type="dxa"/>
            <w:bottom w:w="0" w:type="dxa"/>
            <w:right w:w="108" w:type="dxa"/>
          </w:tblCellMar>
        </w:tblPrEx>
        <w:trPr>
          <w:trHeight w:val="288"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b/>
                <w:bCs/>
                <w:color w:val="auto"/>
              </w:rPr>
            </w:pPr>
            <w:r>
              <w:rPr>
                <w:rFonts w:hint="eastAsia" w:ascii="仿宋" w:hAnsi="仿宋" w:eastAsia="仿宋" w:cs="仿宋"/>
                <w:b/>
                <w:bCs/>
                <w:color w:val="auto"/>
              </w:rPr>
              <w:t>串联质谱平台辅助设备清单</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center"/>
              <w:rPr>
                <w:rFonts w:ascii="仿宋" w:hAnsi="仿宋" w:eastAsia="仿宋" w:cs="仿宋"/>
                <w:color w:val="auto"/>
              </w:rPr>
            </w:pPr>
          </w:p>
        </w:tc>
        <w:tc>
          <w:tcPr>
            <w:tcW w:w="952"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名称</w:t>
            </w:r>
          </w:p>
        </w:tc>
        <w:tc>
          <w:tcPr>
            <w:tcW w:w="573"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数量</w:t>
            </w:r>
          </w:p>
        </w:tc>
        <w:tc>
          <w:tcPr>
            <w:tcW w:w="576" w:type="pct"/>
            <w:tcBorders>
              <w:top w:val="single" w:color="000000" w:sz="4" w:space="0"/>
              <w:left w:val="single" w:color="000000" w:sz="4" w:space="0"/>
              <w:bottom w:val="single" w:color="auto" w:sz="4" w:space="0"/>
              <w:right w:val="single" w:color="000000" w:sz="4" w:space="0"/>
            </w:tcBorders>
            <w:shd w:val="clear" w:color="auto" w:fill="FFFFFF"/>
            <w:noWrap/>
            <w:vAlign w:val="bottom"/>
          </w:tcPr>
          <w:p>
            <w:pPr>
              <w:jc w:val="center"/>
              <w:textAlignment w:val="bottom"/>
              <w:rPr>
                <w:rFonts w:ascii="仿宋" w:hAnsi="仿宋" w:eastAsia="仿宋" w:cs="仿宋"/>
                <w:color w:val="auto"/>
              </w:rPr>
            </w:pPr>
            <w:r>
              <w:rPr>
                <w:rFonts w:hint="eastAsia" w:ascii="仿宋" w:hAnsi="仿宋" w:eastAsia="仿宋" w:cs="仿宋"/>
                <w:color w:val="auto"/>
              </w:rPr>
              <w:t>单位</w:t>
            </w:r>
          </w:p>
        </w:tc>
      </w:tr>
      <w:tr>
        <w:tblPrEx>
          <w:tblCellMar>
            <w:top w:w="0" w:type="dxa"/>
            <w:left w:w="108" w:type="dxa"/>
            <w:bottom w:w="0" w:type="dxa"/>
            <w:right w:w="108" w:type="dxa"/>
          </w:tblCellMar>
        </w:tblPrEx>
        <w:trPr>
          <w:trHeight w:val="288" w:hRule="atLeast"/>
        </w:trPr>
        <w:tc>
          <w:tcPr>
            <w:tcW w:w="38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952"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p>
          <w:p>
            <w:pPr>
              <w:jc w:val="center"/>
              <w:textAlignment w:val="center"/>
              <w:rPr>
                <w:rFonts w:ascii="仿宋" w:hAnsi="仿宋" w:eastAsia="仿宋" w:cs="仿宋"/>
                <w:color w:val="auto"/>
              </w:rPr>
            </w:pPr>
            <w:r>
              <w:rPr>
                <w:rFonts w:hint="eastAsia" w:ascii="仿宋" w:hAnsi="仿宋" w:eastAsia="仿宋" w:cs="仿宋"/>
                <w:color w:val="auto"/>
              </w:rPr>
              <w:t>辅助设备</w:t>
            </w:r>
          </w:p>
        </w:tc>
        <w:tc>
          <w:tcPr>
            <w:tcW w:w="251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氮气发生器</w:t>
            </w:r>
          </w:p>
        </w:tc>
        <w:tc>
          <w:tcPr>
            <w:tcW w:w="57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center"/>
              <w:textAlignment w:val="center"/>
              <w:rPr>
                <w:rStyle w:val="9"/>
                <w:rFonts w:ascii="仿宋" w:hAnsi="仿宋" w:eastAsia="仿宋" w:cs="仿宋"/>
                <w:color w:val="auto"/>
                <w:sz w:val="21"/>
                <w:szCs w:val="21"/>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2</w:t>
            </w:r>
          </w:p>
        </w:tc>
        <w:tc>
          <w:tcPr>
            <w:tcW w:w="95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仿宋" w:hAnsi="仿宋" w:eastAsia="仿宋" w:cs="仿宋"/>
                <w:color w:val="auto"/>
              </w:rPr>
            </w:pPr>
          </w:p>
        </w:tc>
        <w:tc>
          <w:tcPr>
            <w:tcW w:w="251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UPS(不间断电源)</w:t>
            </w:r>
          </w:p>
        </w:tc>
        <w:tc>
          <w:tcPr>
            <w:tcW w:w="57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auto" w:sz="4" w:space="0"/>
              <w:left w:val="single" w:color="auto" w:sz="4" w:space="0"/>
              <w:bottom w:val="single" w:color="auto" w:sz="4" w:space="0"/>
              <w:right w:val="single" w:color="auto"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3</w:t>
            </w:r>
          </w:p>
        </w:tc>
        <w:tc>
          <w:tcPr>
            <w:tcW w:w="95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仿宋" w:hAnsi="仿宋" w:eastAsia="仿宋" w:cs="仿宋"/>
                <w:color w:val="auto"/>
              </w:rPr>
            </w:pPr>
          </w:p>
        </w:tc>
        <w:tc>
          <w:tcPr>
            <w:tcW w:w="2514"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万向通风罩</w:t>
            </w:r>
          </w:p>
        </w:tc>
        <w:tc>
          <w:tcPr>
            <w:tcW w:w="57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auto" w:sz="4" w:space="0"/>
              <w:left w:val="single" w:color="auto" w:sz="4" w:space="0"/>
              <w:bottom w:val="single" w:color="auto" w:sz="4" w:space="0"/>
              <w:right w:val="single" w:color="auto" w:sz="4" w:space="0"/>
            </w:tcBorders>
            <w:shd w:val="clear" w:color="auto" w:fill="FFFFFF"/>
            <w:noWrap/>
            <w:vAlign w:val="bottom"/>
          </w:tcPr>
          <w:p>
            <w:pPr>
              <w:jc w:val="center"/>
              <w:textAlignment w:val="bottom"/>
              <w:rPr>
                <w:rFonts w:ascii="仿宋" w:hAnsi="仿宋" w:eastAsia="仿宋" w:cs="仿宋"/>
                <w:color w:val="auto"/>
              </w:rPr>
            </w:pPr>
            <w:r>
              <w:rPr>
                <w:rFonts w:hint="eastAsia" w:ascii="仿宋" w:hAnsi="仿宋" w:eastAsia="仿宋" w:cs="仿宋"/>
                <w:color w:val="auto"/>
              </w:rPr>
              <w:t>支</w:t>
            </w:r>
          </w:p>
        </w:tc>
      </w:tr>
      <w:tr>
        <w:tblPrEx>
          <w:tblCellMar>
            <w:top w:w="0" w:type="dxa"/>
            <w:left w:w="108" w:type="dxa"/>
            <w:bottom w:w="0" w:type="dxa"/>
            <w:right w:w="108" w:type="dxa"/>
          </w:tblCellMar>
        </w:tblPrEx>
        <w:trPr>
          <w:trHeight w:val="288" w:hRule="atLeast"/>
        </w:trPr>
        <w:tc>
          <w:tcPr>
            <w:tcW w:w="383"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4</w:t>
            </w:r>
          </w:p>
        </w:tc>
        <w:tc>
          <w:tcPr>
            <w:tcW w:w="952" w:type="pct"/>
            <w:vMerge w:val="continue"/>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1.5通风橱或二级生物安全柜</w:t>
            </w:r>
          </w:p>
        </w:tc>
        <w:tc>
          <w:tcPr>
            <w:tcW w:w="573"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auto"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5</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医用冷藏冷冻冰箱</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6</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冷冻离心机</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7</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涡旋振荡器</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8</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单道移液枪</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4</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支</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9</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超声波清洗机</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10</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血库专用离心机</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11</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8道移液枪</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2</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套</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12</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调温试热封膜仪</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13</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96孔板涡旋振荡器</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14</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台式电脑</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r>
        <w:tblPrEx>
          <w:tblCellMar>
            <w:top w:w="0" w:type="dxa"/>
            <w:left w:w="108" w:type="dxa"/>
            <w:bottom w:w="0" w:type="dxa"/>
            <w:right w:w="108" w:type="dxa"/>
          </w:tblCellMar>
        </w:tblPrEx>
        <w:trPr>
          <w:trHeight w:val="288"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15</w:t>
            </w:r>
          </w:p>
        </w:tc>
        <w:tc>
          <w:tcPr>
            <w:tcW w:w="9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auto"/>
              </w:rPr>
            </w:pPr>
          </w:p>
        </w:tc>
        <w:tc>
          <w:tcPr>
            <w:tcW w:w="2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打印机</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5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 w:hAnsi="仿宋" w:eastAsia="仿宋" w:cs="仿宋"/>
                <w:color w:val="auto"/>
              </w:rPr>
            </w:pPr>
            <w:r>
              <w:rPr>
                <w:rFonts w:hint="eastAsia" w:ascii="仿宋" w:hAnsi="仿宋" w:eastAsia="仿宋" w:cs="仿宋"/>
                <w:color w:val="auto"/>
              </w:rPr>
              <w:t>台</w:t>
            </w:r>
          </w:p>
        </w:tc>
      </w:tr>
    </w:tbl>
    <w:p>
      <w:pPr>
        <w:pStyle w:val="3"/>
        <w:ind w:left="0" w:leftChars="0" w:firstLine="0" w:firstLineChars="0"/>
      </w:pPr>
    </w:p>
    <w:p>
      <w:pPr>
        <w:textAlignment w:val="center"/>
        <w:rPr>
          <w:rFonts w:hint="eastAsia" w:ascii="仿宋" w:hAnsi="仿宋" w:eastAsia="仿宋" w:cs="仿宋"/>
          <w:b/>
          <w:bCs/>
          <w:color w:val="auto"/>
        </w:rPr>
      </w:pPr>
      <w:r>
        <w:rPr>
          <w:rFonts w:hint="eastAsia" w:ascii="仿宋" w:hAnsi="仿宋" w:eastAsia="仿宋" w:cs="仿宋"/>
          <w:b/>
          <w:bCs/>
          <w:color w:val="auto"/>
        </w:rPr>
        <w:t>附件2 主要设备技术要求</w:t>
      </w:r>
    </w:p>
    <w:p>
      <w:pPr>
        <w:pStyle w:val="2"/>
        <w:rPr>
          <w:rFonts w:hint="default" w:eastAsia="仿宋"/>
          <w:lang w:val="en-US" w:eastAsia="zh-CN"/>
        </w:rPr>
      </w:pPr>
      <w:r>
        <w:rPr>
          <w:rFonts w:hint="eastAsia" w:ascii="仿宋" w:hAnsi="仿宋" w:eastAsia="仿宋" w:cs="仿宋"/>
          <w:b/>
          <w:bCs/>
          <w:color w:val="auto"/>
          <w:lang w:val="en-US" w:eastAsia="zh-CN"/>
        </w:rPr>
        <w:t>1.</w:t>
      </w:r>
      <w:r>
        <w:rPr>
          <w:rFonts w:hint="eastAsia" w:ascii="仿宋" w:hAnsi="仿宋" w:eastAsia="仿宋" w:cs="仿宋"/>
          <w:b/>
          <w:color w:val="auto"/>
          <w:spacing w:val="-3"/>
          <w:sz w:val="24"/>
        </w:rPr>
        <w:t>高通量测序技术要求</w:t>
      </w:r>
    </w:p>
    <w:tbl>
      <w:tblPr>
        <w:tblStyle w:val="6"/>
        <w:tblW w:w="0" w:type="auto"/>
        <w:tblInd w:w="-91" w:type="dxa"/>
        <w:tblLayout w:type="autofit"/>
        <w:tblCellMar>
          <w:top w:w="15" w:type="dxa"/>
          <w:left w:w="15" w:type="dxa"/>
          <w:bottom w:w="15" w:type="dxa"/>
          <w:right w:w="15" w:type="dxa"/>
        </w:tblCellMar>
      </w:tblPr>
      <w:tblGrid>
        <w:gridCol w:w="387"/>
        <w:gridCol w:w="8040"/>
      </w:tblGrid>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序号</w:t>
            </w: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参数要求</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Fonts w:hint="eastAsia" w:ascii="仿宋" w:hAnsi="仿宋" w:eastAsia="仿宋" w:cs="仿宋"/>
                <w:color w:val="auto"/>
              </w:rPr>
              <w:t>可开展全外显子测序、宏基因组测序等科研应用、肺癌个体化诊疗基因检测、未知病原体微生物基因检测等临床应用。</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2</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Fonts w:hint="eastAsia" w:ascii="仿宋" w:hAnsi="仿宋" w:eastAsia="仿宋" w:cs="仿宋"/>
                <w:color w:val="auto"/>
              </w:rPr>
              <w:t>在</w:t>
            </w:r>
            <w:r>
              <w:rPr>
                <w:rStyle w:val="10"/>
                <w:rFonts w:hint="eastAsia" w:ascii="仿宋" w:hAnsi="仿宋" w:eastAsia="仿宋" w:cs="仿宋"/>
                <w:color w:val="auto"/>
              </w:rPr>
              <w:t>2×250 bp</w:t>
            </w:r>
            <w:r>
              <w:rPr>
                <w:rStyle w:val="11"/>
                <w:rFonts w:hint="default" w:ascii="仿宋" w:hAnsi="仿宋" w:eastAsia="仿宋" w:cs="仿宋"/>
                <w:color w:val="auto"/>
                <w:sz w:val="21"/>
                <w:szCs w:val="21"/>
              </w:rPr>
              <w:t>时，＞</w:t>
            </w:r>
            <w:r>
              <w:rPr>
                <w:rStyle w:val="10"/>
                <w:rFonts w:hint="eastAsia" w:ascii="仿宋" w:hAnsi="仿宋" w:eastAsia="仿宋" w:cs="仿宋"/>
                <w:color w:val="auto"/>
              </w:rPr>
              <w:t>75%</w:t>
            </w:r>
            <w:r>
              <w:rPr>
                <w:rStyle w:val="11"/>
                <w:rFonts w:hint="default" w:ascii="仿宋" w:hAnsi="仿宋" w:eastAsia="仿宋" w:cs="仿宋"/>
                <w:color w:val="auto"/>
                <w:sz w:val="21"/>
                <w:szCs w:val="21"/>
              </w:rPr>
              <w:t>的碱基质量分值高于</w:t>
            </w:r>
            <w:r>
              <w:rPr>
                <w:rStyle w:val="10"/>
                <w:rFonts w:hint="eastAsia" w:ascii="仿宋" w:hAnsi="仿宋" w:eastAsia="仿宋" w:cs="仿宋"/>
                <w:color w:val="auto"/>
              </w:rPr>
              <w:t>Q30。</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3</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Style w:val="11"/>
                <w:rFonts w:hint="default" w:ascii="仿宋" w:hAnsi="仿宋" w:eastAsia="仿宋" w:cs="仿宋"/>
                <w:color w:val="auto"/>
                <w:sz w:val="21"/>
                <w:szCs w:val="21"/>
              </w:rPr>
              <w:t>可连续读取</w:t>
            </w:r>
            <w:r>
              <w:rPr>
                <w:rStyle w:val="10"/>
                <w:rFonts w:hint="eastAsia" w:ascii="仿宋" w:hAnsi="仿宋" w:eastAsia="仿宋" w:cs="仿宋"/>
                <w:color w:val="auto"/>
              </w:rPr>
              <w:t>12</w:t>
            </w:r>
            <w:r>
              <w:rPr>
                <w:rStyle w:val="11"/>
                <w:rFonts w:hint="default" w:ascii="仿宋" w:hAnsi="仿宋" w:eastAsia="仿宋" w:cs="仿宋"/>
                <w:color w:val="auto"/>
                <w:sz w:val="21"/>
                <w:szCs w:val="21"/>
              </w:rPr>
              <w:t>个以上（如</w:t>
            </w:r>
            <w:r>
              <w:rPr>
                <w:rStyle w:val="10"/>
                <w:rFonts w:hint="eastAsia" w:ascii="仿宋" w:hAnsi="仿宋" w:eastAsia="仿宋" w:cs="仿宋"/>
                <w:color w:val="auto"/>
              </w:rPr>
              <w:t>AAAAAAAAA</w:t>
            </w:r>
            <w:r>
              <w:rPr>
                <w:rStyle w:val="11"/>
                <w:rFonts w:hint="default" w:ascii="仿宋" w:hAnsi="仿宋" w:eastAsia="仿宋" w:cs="仿宋"/>
                <w:color w:val="auto"/>
                <w:sz w:val="21"/>
                <w:szCs w:val="21"/>
              </w:rPr>
              <w:t>）单个重复碱基序列信息。</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4</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Style w:val="12"/>
                <w:rFonts w:hint="eastAsia" w:ascii="仿宋" w:hAnsi="仿宋" w:eastAsia="仿宋" w:cs="仿宋"/>
                <w:color w:val="auto"/>
                <w:sz w:val="21"/>
                <w:szCs w:val="21"/>
              </w:rPr>
              <w:t>运行时间：从文库加载到测序完成最快周期可达</w:t>
            </w:r>
            <w:r>
              <w:rPr>
                <w:rStyle w:val="10"/>
                <w:rFonts w:hint="eastAsia" w:ascii="仿宋" w:hAnsi="仿宋" w:eastAsia="仿宋" w:cs="仿宋"/>
                <w:color w:val="auto"/>
              </w:rPr>
              <w:t>14</w:t>
            </w:r>
            <w:r>
              <w:rPr>
                <w:rStyle w:val="11"/>
                <w:rFonts w:hint="default" w:ascii="仿宋" w:hAnsi="仿宋" w:eastAsia="仿宋" w:cs="仿宋"/>
                <w:color w:val="auto"/>
                <w:sz w:val="21"/>
                <w:szCs w:val="21"/>
              </w:rPr>
              <w:t>小时内。</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5</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Style w:val="11"/>
                <w:rFonts w:hint="default" w:ascii="仿宋" w:hAnsi="仿宋" w:eastAsia="仿宋" w:cs="仿宋"/>
                <w:color w:val="auto"/>
                <w:sz w:val="21"/>
                <w:szCs w:val="21"/>
              </w:rPr>
              <w:t>准确率：</w:t>
            </w:r>
            <w:r>
              <w:rPr>
                <w:rStyle w:val="10"/>
                <w:rFonts w:hint="eastAsia" w:ascii="仿宋" w:hAnsi="仿宋" w:eastAsia="仿宋" w:cs="仿宋"/>
                <w:color w:val="auto"/>
              </w:rPr>
              <w:t>PE 100</w:t>
            </w:r>
            <w:r>
              <w:rPr>
                <w:rStyle w:val="11"/>
                <w:rFonts w:hint="default" w:ascii="仿宋" w:hAnsi="仿宋" w:eastAsia="仿宋" w:cs="仿宋"/>
                <w:color w:val="auto"/>
                <w:sz w:val="21"/>
                <w:szCs w:val="21"/>
              </w:rPr>
              <w:t>模式下</w:t>
            </w:r>
            <w:r>
              <w:rPr>
                <w:rStyle w:val="10"/>
                <w:rFonts w:hint="eastAsia" w:ascii="仿宋" w:hAnsi="仿宋" w:eastAsia="仿宋" w:cs="仿宋"/>
                <w:color w:val="auto"/>
              </w:rPr>
              <w:t>,</w:t>
            </w:r>
            <w:r>
              <w:rPr>
                <w:rStyle w:val="11"/>
                <w:rFonts w:hint="default" w:ascii="仿宋" w:hAnsi="仿宋" w:eastAsia="仿宋" w:cs="仿宋"/>
                <w:color w:val="auto"/>
                <w:sz w:val="21"/>
                <w:szCs w:val="21"/>
              </w:rPr>
              <w:t>＞</w:t>
            </w:r>
            <w:r>
              <w:rPr>
                <w:rStyle w:val="10"/>
                <w:rFonts w:hint="eastAsia" w:ascii="仿宋" w:hAnsi="仿宋" w:eastAsia="仿宋" w:cs="仿宋"/>
                <w:color w:val="auto"/>
              </w:rPr>
              <w:t>80%</w:t>
            </w:r>
            <w:r>
              <w:rPr>
                <w:rStyle w:val="11"/>
                <w:rFonts w:hint="default" w:ascii="仿宋" w:hAnsi="仿宋" w:eastAsia="仿宋" w:cs="仿宋"/>
                <w:color w:val="auto"/>
                <w:sz w:val="21"/>
                <w:szCs w:val="21"/>
              </w:rPr>
              <w:t>数据高于</w:t>
            </w:r>
            <w:r>
              <w:rPr>
                <w:rStyle w:val="10"/>
                <w:rFonts w:hint="eastAsia" w:ascii="仿宋" w:hAnsi="仿宋" w:eastAsia="仿宋" w:cs="仿宋"/>
                <w:color w:val="auto"/>
              </w:rPr>
              <w:t>Q30</w:t>
            </w:r>
            <w:r>
              <w:rPr>
                <w:rStyle w:val="11"/>
                <w:rFonts w:hint="default" w:ascii="仿宋" w:hAnsi="仿宋" w:eastAsia="仿宋" w:cs="仿宋"/>
                <w:color w:val="auto"/>
                <w:sz w:val="21"/>
                <w:szCs w:val="21"/>
              </w:rPr>
              <w:t>。</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u w:val="single"/>
              </w:rPr>
            </w:pPr>
            <w:r>
              <w:rPr>
                <w:rFonts w:hint="eastAsia" w:ascii="仿宋" w:hAnsi="仿宋" w:eastAsia="仿宋" w:cs="仿宋"/>
                <w:color w:val="auto"/>
              </w:rPr>
              <w:t>6</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Fonts w:hint="eastAsia" w:ascii="仿宋" w:hAnsi="仿宋" w:eastAsia="仿宋" w:cs="仿宋"/>
                <w:color w:val="auto"/>
              </w:rPr>
              <w:t>信息分析：测序的同时能进行初步数据分析，并产生有质量打分的碱基序列。</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7</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Fonts w:hint="eastAsia" w:ascii="仿宋" w:hAnsi="仿宋" w:eastAsia="仿宋" w:cs="仿宋"/>
                <w:color w:val="auto"/>
              </w:rPr>
              <w:t>★具有有效医疗器械注册证。</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8</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Fonts w:hint="eastAsia" w:ascii="仿宋" w:hAnsi="仿宋" w:eastAsia="仿宋" w:cs="仿宋"/>
                <w:color w:val="auto"/>
              </w:rPr>
              <w:t>具备支持单端和双端测序的能力。</w:t>
            </w:r>
          </w:p>
        </w:tc>
      </w:tr>
      <w:tr>
        <w:tblPrEx>
          <w:tblCellMar>
            <w:top w:w="15" w:type="dxa"/>
            <w:left w:w="15" w:type="dxa"/>
            <w:bottom w:w="15" w:type="dxa"/>
            <w:right w:w="15" w:type="dxa"/>
          </w:tblCellMar>
        </w:tblPrEx>
        <w:trPr>
          <w:trHeight w:val="54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仿宋" w:hAnsi="仿宋" w:eastAsia="仿宋" w:cs="仿宋"/>
                <w:color w:val="auto"/>
              </w:rPr>
            </w:pPr>
            <w:r>
              <w:rPr>
                <w:rFonts w:hint="eastAsia" w:ascii="仿宋" w:hAnsi="仿宋" w:eastAsia="仿宋" w:cs="仿宋"/>
                <w:color w:val="auto"/>
              </w:rPr>
              <w:t>9</w:t>
            </w:r>
          </w:p>
        </w:tc>
        <w:tc>
          <w:tcPr>
            <w:tcW w:w="0" w:type="auto"/>
            <w:tcBorders>
              <w:top w:val="single" w:color="000000" w:sz="4" w:space="0"/>
              <w:left w:val="single" w:color="000000" w:sz="4" w:space="0"/>
              <w:bottom w:val="single" w:color="000000" w:sz="4" w:space="0"/>
              <w:right w:val="single" w:color="000000" w:sz="4" w:space="0"/>
            </w:tcBorders>
            <w:vAlign w:val="center"/>
          </w:tcPr>
          <w:p>
            <w:pPr>
              <w:textAlignment w:val="center"/>
              <w:rPr>
                <w:rFonts w:ascii="仿宋" w:hAnsi="仿宋" w:eastAsia="仿宋" w:cs="仿宋"/>
                <w:color w:val="auto"/>
              </w:rPr>
            </w:pPr>
            <w:r>
              <w:rPr>
                <w:rFonts w:hint="eastAsia" w:ascii="仿宋" w:hAnsi="仿宋" w:eastAsia="仿宋" w:cs="仿宋"/>
                <w:color w:val="auto"/>
              </w:rPr>
              <w:t>可自动扫描试剂、芯片、样本。</w:t>
            </w:r>
          </w:p>
        </w:tc>
      </w:tr>
    </w:tbl>
    <w:p>
      <w:pPr>
        <w:textAlignment w:val="center"/>
        <w:rPr>
          <w:rFonts w:hint="eastAsia" w:ascii="仿宋" w:hAnsi="仿宋" w:eastAsia="仿宋" w:cs="仿宋"/>
          <w:b/>
          <w:bCs/>
          <w:color w:val="auto"/>
        </w:rPr>
      </w:pPr>
    </w:p>
    <w:p>
      <w:pPr>
        <w:textAlignment w:val="center"/>
        <w:rPr>
          <w:rFonts w:ascii="仿宋" w:hAnsi="仿宋" w:eastAsia="仿宋" w:cs="仿宋"/>
          <w:b/>
          <w:bCs/>
          <w:color w:val="auto"/>
        </w:rPr>
      </w:pPr>
      <w:r>
        <w:rPr>
          <w:rFonts w:hint="eastAsia" w:ascii="仿宋" w:hAnsi="仿宋" w:eastAsia="仿宋" w:cs="仿宋"/>
          <w:b/>
          <w:bCs/>
          <w:color w:val="auto"/>
          <w:lang w:val="en-US" w:eastAsia="zh-CN"/>
        </w:rPr>
        <w:t>2</w:t>
      </w:r>
      <w:r>
        <w:rPr>
          <w:rFonts w:hint="eastAsia" w:ascii="仿宋" w:hAnsi="仿宋" w:eastAsia="仿宋" w:cs="仿宋"/>
          <w:b/>
          <w:bCs/>
          <w:color w:val="auto"/>
        </w:rPr>
        <w:t>、串联质谱技术要求</w:t>
      </w:r>
    </w:p>
    <w:tbl>
      <w:tblPr>
        <w:tblStyle w:val="6"/>
        <w:tblW w:w="5000" w:type="pct"/>
        <w:tblInd w:w="0" w:type="dxa"/>
        <w:tblLayout w:type="autofit"/>
        <w:tblCellMar>
          <w:top w:w="0" w:type="dxa"/>
          <w:left w:w="108" w:type="dxa"/>
          <w:bottom w:w="0" w:type="dxa"/>
          <w:right w:w="108" w:type="dxa"/>
        </w:tblCellMar>
      </w:tblPr>
      <w:tblGrid>
        <w:gridCol w:w="590"/>
        <w:gridCol w:w="7932"/>
      </w:tblGrid>
      <w:tr>
        <w:tblPrEx>
          <w:tblCellMar>
            <w:top w:w="0" w:type="dxa"/>
            <w:left w:w="108" w:type="dxa"/>
            <w:bottom w:w="0" w:type="dxa"/>
            <w:right w:w="108" w:type="dxa"/>
          </w:tblCellMar>
        </w:tblPrEx>
        <w:trPr>
          <w:trHeight w:val="817" w:hRule="atLeast"/>
        </w:trPr>
        <w:tc>
          <w:tcPr>
            <w:tcW w:w="346"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序号</w:t>
            </w:r>
          </w:p>
        </w:tc>
        <w:tc>
          <w:tcPr>
            <w:tcW w:w="4653" w:type="pct"/>
            <w:tcBorders>
              <w:top w:val="single" w:color="000000" w:sz="8" w:space="0"/>
              <w:left w:val="nil"/>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参数要求</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设备功能要求和用途：具有三重四极杆的定量定性分析功能，用于新生儿筛查、全谱维生素、固醇类激素、氨基酸、脂肪酸、肉碱及外源性物质如治疗药物/毒性药物等。</w:t>
            </w:r>
          </w:p>
        </w:tc>
      </w:tr>
      <w:tr>
        <w:tblPrEx>
          <w:tblCellMar>
            <w:top w:w="0" w:type="dxa"/>
            <w:left w:w="108" w:type="dxa"/>
            <w:bottom w:w="0" w:type="dxa"/>
            <w:right w:w="108" w:type="dxa"/>
          </w:tblCellMar>
        </w:tblPrEx>
        <w:trPr>
          <w:trHeight w:val="970"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2</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▲离子源：要求为独立的电喷雾离子源(ESI)以及大气压化学电离源(APCI)，APCI为非复合源，并可在不破坏真空的条件下方便快速切换离子源。</w:t>
            </w:r>
          </w:p>
        </w:tc>
      </w:tr>
      <w:tr>
        <w:tblPrEx>
          <w:tblCellMar>
            <w:top w:w="0" w:type="dxa"/>
            <w:left w:w="108" w:type="dxa"/>
            <w:bottom w:w="0" w:type="dxa"/>
            <w:right w:w="108" w:type="dxa"/>
          </w:tblCellMar>
        </w:tblPrEx>
        <w:trPr>
          <w:trHeight w:val="951"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3</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在不影响真空度的情况下，可以实现独立的ESI和独立的APCI离子源的切换。</w:t>
            </w:r>
          </w:p>
        </w:tc>
      </w:tr>
      <w:tr>
        <w:tblPrEx>
          <w:tblCellMar>
            <w:top w:w="0" w:type="dxa"/>
            <w:left w:w="108" w:type="dxa"/>
            <w:bottom w:w="0" w:type="dxa"/>
            <w:right w:w="108" w:type="dxa"/>
          </w:tblCellMar>
        </w:tblPrEx>
        <w:trPr>
          <w:trHeight w:val="1046"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4</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ESI 电喷雾离子源流速范围：在确保灵敏度不损失的前提下，实现高流速，无需分流即可达到 3mL/min，离子源接口适用于 100％有机相到 100％水相，耐用一定浓度的缓冲液。</w:t>
            </w:r>
          </w:p>
        </w:tc>
      </w:tr>
      <w:tr>
        <w:tblPrEx>
          <w:tblCellMar>
            <w:top w:w="0" w:type="dxa"/>
            <w:left w:w="108" w:type="dxa"/>
            <w:bottom w:w="0" w:type="dxa"/>
            <w:right w:w="108" w:type="dxa"/>
          </w:tblCellMar>
        </w:tblPrEx>
        <w:trPr>
          <w:trHeight w:val="1064"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5</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APCI 大气压化学离子源流速范围：在确保灵敏度不损失的前提下，实现高流速，无需分流即可达到 3mL/min。</w:t>
            </w:r>
          </w:p>
        </w:tc>
      </w:tr>
      <w:tr>
        <w:tblPrEx>
          <w:tblCellMar>
            <w:top w:w="0" w:type="dxa"/>
            <w:left w:w="108" w:type="dxa"/>
            <w:bottom w:w="0" w:type="dxa"/>
            <w:right w:w="108" w:type="dxa"/>
          </w:tblCellMar>
        </w:tblPrEx>
        <w:trPr>
          <w:trHeight w:val="1252"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6</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▲离子源内有两路加热雾化气，确保离子化充分，辅助加热气温度最大可至 720℃以上（投标时需提供温度设置为 720℃以上时的工作站软件界面截图），确保离子化效率和抗基质干扰能力。</w:t>
            </w:r>
          </w:p>
        </w:tc>
      </w:tr>
      <w:tr>
        <w:tblPrEx>
          <w:tblCellMar>
            <w:top w:w="0" w:type="dxa"/>
            <w:left w:w="108" w:type="dxa"/>
            <w:bottom w:w="0" w:type="dxa"/>
            <w:right w:w="108" w:type="dxa"/>
          </w:tblCellMar>
        </w:tblPrEx>
        <w:trPr>
          <w:trHeight w:val="1045"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7</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▲离子源接口采用锥孔结构和反吹气技术，离子传输通道无毛细管类设计装置，不会堵塞，且能有效防止中性分子与不挥发缓冲盐由于真空压力梯度进入四级杆。</w:t>
            </w:r>
          </w:p>
        </w:tc>
      </w:tr>
      <w:tr>
        <w:tblPrEx>
          <w:tblCellMar>
            <w:top w:w="0" w:type="dxa"/>
            <w:left w:w="108" w:type="dxa"/>
            <w:bottom w:w="0" w:type="dxa"/>
            <w:right w:w="108" w:type="dxa"/>
          </w:tblCellMar>
        </w:tblPrEx>
        <w:trPr>
          <w:trHeight w:val="1196"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8</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离子源内有负压废气排放装置，可防止气体在密闭的离子源腔体中的回流，降低离子源的记忆效应和污染，降低机械泵的负荷，延长机械泵泵油使用时间，维护试验环境，保障工作人员健康。</w:t>
            </w:r>
          </w:p>
        </w:tc>
      </w:tr>
      <w:tr>
        <w:tblPrEx>
          <w:tblCellMar>
            <w:top w:w="0" w:type="dxa"/>
            <w:left w:w="108" w:type="dxa"/>
            <w:bottom w:w="0" w:type="dxa"/>
            <w:right w:w="108" w:type="dxa"/>
          </w:tblCellMar>
        </w:tblPrEx>
        <w:trPr>
          <w:trHeight w:val="1121"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9</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▲离子传输系统应具备高端 RF 离子聚焦装置，包括 QJet 离子聚焦装置或 iFunnel 离子漏斗聚焦装置或 StepWave 离子聚焦装置或者或 S-lens 聚焦装置其中的一种。</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10</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碰撞室：弯曲碰撞池设计，弯曲角≥90°，可有效过滤中性粒子的干扰。</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11</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▲采用高纯氮气作为雾化气和碰撞气，无需额外氩气。</w:t>
            </w:r>
          </w:p>
        </w:tc>
      </w:tr>
      <w:tr>
        <w:tblPrEx>
          <w:tblCellMar>
            <w:top w:w="0" w:type="dxa"/>
            <w:left w:w="108" w:type="dxa"/>
            <w:bottom w:w="0" w:type="dxa"/>
            <w:right w:w="108" w:type="dxa"/>
          </w:tblCellMar>
        </w:tblPrEx>
        <w:trPr>
          <w:trHeight w:val="119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12</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质量分析器：四极杆采用陶瓷镀金，具有良好的热稳定性、导电性和最好的惰性；无需额外加热来维持稳定性，减少因温度变化等外来的不稳定因素而造成实验稳定性的不确定性。如为非陶瓷镀金四极杆需额外提供两套原装四极杆备用。</w:t>
            </w:r>
          </w:p>
        </w:tc>
      </w:tr>
      <w:tr>
        <w:tblPrEx>
          <w:tblCellMar>
            <w:top w:w="0" w:type="dxa"/>
            <w:left w:w="108" w:type="dxa"/>
            <w:bottom w:w="0" w:type="dxa"/>
            <w:right w:w="108" w:type="dxa"/>
          </w:tblCellMar>
        </w:tblPrEx>
        <w:trPr>
          <w:trHeight w:val="989"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13</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检测器系统：采用偏轴高能脉冲离子计数电子倍增检测器，能够满足长期大量样品定量分析的数据可靠性和重复性；非光电倍增管设计，能同时保证正负离子模式的高灵敏度和稳定性。</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14</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质量数范围：m/z 5-2000 amu.</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15</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线性范围：定量超过六个数量级。</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16</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MRM 最小驻留时间(dwell time)≤1ms。</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17</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实际定量分析，一般设置驻留时间(dwell time)为 1ms，可满足一次进样＞1000 对 MRM 分析，并且保持良好的重现性和定量准确性。</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18</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灵敏度</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rPr>
                <w:rFonts w:ascii="仿宋" w:hAnsi="仿宋" w:eastAsia="仿宋" w:cs="仿宋"/>
                <w:color w:val="auto"/>
              </w:rPr>
            </w:pP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ESI正离子：1pg利血平，过柱进样，m/z 609＞195，信噪比S/N≥100000:1，CV 小于 5%。</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rPr>
                <w:rFonts w:ascii="仿宋" w:hAnsi="仿宋" w:eastAsia="仿宋" w:cs="仿宋"/>
                <w:color w:val="auto"/>
              </w:rPr>
            </w:pP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ESI 负离子：1pg 氯霉素，过柱进样，m/z 321＞152，信噪比 S/N≥50000:1，CV 小于 5%；1pg 雌二醇，过柱进样，m/z 321＞152，信噪比≥10000:1，CV 小于 5%。</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rPr>
                <w:rFonts w:ascii="仿宋" w:hAnsi="仿宋" w:eastAsia="仿宋" w:cs="仿宋"/>
                <w:color w:val="auto"/>
              </w:rPr>
            </w:pP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APCI 正离子：1pg 17-OH 孕酮，过柱进样，信噪比≥2000:1，CV 小于5%。</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19</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扫描功能：具有全扫描、子离子扫描、母离子扫描、中性丢失扫描、MRM扫描等。</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20</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液相色谱仪为二元高压液相色谱系统，耐压≥9500psi。</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21</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具有专业的定量分析软件、基本的仪器控制和数据采集处理软件、专业的定量分析软件。</w:t>
            </w:r>
          </w:p>
        </w:tc>
      </w:tr>
      <w:tr>
        <w:tblPrEx>
          <w:tblCellMar>
            <w:top w:w="0" w:type="dxa"/>
            <w:left w:w="108" w:type="dxa"/>
            <w:bottom w:w="0" w:type="dxa"/>
            <w:right w:w="108" w:type="dxa"/>
          </w:tblCellMar>
        </w:tblPrEx>
        <w:trPr>
          <w:trHeight w:val="817" w:hRule="atLeast"/>
        </w:trPr>
        <w:tc>
          <w:tcPr>
            <w:tcW w:w="346" w:type="pct"/>
            <w:tcBorders>
              <w:top w:val="nil"/>
              <w:left w:val="single" w:color="000000" w:sz="8" w:space="0"/>
              <w:bottom w:val="single" w:color="000000" w:sz="8" w:space="0"/>
              <w:right w:val="single" w:color="000000" w:sz="8" w:space="0"/>
            </w:tcBorders>
            <w:shd w:val="clear" w:color="auto" w:fill="auto"/>
            <w:vAlign w:val="center"/>
          </w:tcPr>
          <w:p>
            <w:pPr>
              <w:jc w:val="center"/>
              <w:textAlignment w:val="center"/>
              <w:rPr>
                <w:rFonts w:ascii="仿宋" w:hAnsi="仿宋" w:eastAsia="仿宋" w:cs="仿宋"/>
                <w:color w:val="auto"/>
              </w:rPr>
            </w:pPr>
            <w:r>
              <w:rPr>
                <w:rFonts w:hint="eastAsia" w:ascii="仿宋" w:hAnsi="仿宋" w:eastAsia="仿宋" w:cs="仿宋"/>
                <w:color w:val="auto"/>
              </w:rPr>
              <w:t>22</w:t>
            </w:r>
          </w:p>
        </w:tc>
        <w:tc>
          <w:tcPr>
            <w:tcW w:w="4653" w:type="pct"/>
            <w:tcBorders>
              <w:top w:val="nil"/>
              <w:left w:val="nil"/>
              <w:bottom w:val="single" w:color="000000" w:sz="8" w:space="0"/>
              <w:right w:val="single" w:color="000000" w:sz="8" w:space="0"/>
            </w:tcBorders>
            <w:shd w:val="clear" w:color="auto" w:fill="auto"/>
            <w:vAlign w:val="center"/>
          </w:tcPr>
          <w:p>
            <w:pPr>
              <w:textAlignment w:val="center"/>
              <w:rPr>
                <w:rFonts w:ascii="仿宋" w:hAnsi="仿宋" w:eastAsia="仿宋" w:cs="仿宋"/>
                <w:color w:val="auto"/>
              </w:rPr>
            </w:pPr>
            <w:r>
              <w:rPr>
                <w:rFonts w:hint="eastAsia" w:ascii="仿宋" w:hAnsi="仿宋" w:eastAsia="仿宋" w:cs="仿宋"/>
                <w:color w:val="auto"/>
              </w:rPr>
              <w:t>★整套系统（包括液相、质谱、软件）具有有效医疗器械注册证。</w:t>
            </w:r>
          </w:p>
        </w:tc>
      </w:tr>
    </w:tbl>
    <w:p>
      <w:pPr>
        <w:spacing w:line="360" w:lineRule="auto"/>
        <w:rPr>
          <w:rFonts w:ascii="仿宋" w:hAnsi="仿宋" w:eastAsia="仿宋" w:cs="仿宋"/>
          <w:b/>
          <w:color w:val="auto"/>
          <w:spacing w:val="-3"/>
          <w:sz w:val="24"/>
        </w:rPr>
      </w:pPr>
    </w:p>
    <w:p>
      <w:pPr>
        <w:rPr>
          <w:rFonts w:ascii="仿宋" w:hAnsi="仿宋" w:eastAsia="仿宋" w:cs="仿宋"/>
          <w:color w:val="auto"/>
        </w:rPr>
      </w:pPr>
    </w:p>
    <w:p>
      <w:pPr>
        <w:textAlignment w:val="center"/>
        <w:rPr>
          <w:rFonts w:ascii="仿宋" w:hAnsi="仿宋" w:eastAsia="仿宋" w:cs="仿宋"/>
          <w:b/>
          <w:bCs/>
          <w:color w:val="auto"/>
        </w:rPr>
      </w:pPr>
      <w:r>
        <w:rPr>
          <w:rFonts w:hint="eastAsia" w:ascii="仿宋" w:hAnsi="仿宋" w:eastAsia="仿宋" w:cs="仿宋"/>
          <w:b/>
          <w:bCs/>
          <w:color w:val="auto"/>
        </w:rPr>
        <w:t>附件3：开展项目</w:t>
      </w:r>
    </w:p>
    <w:tbl>
      <w:tblPr>
        <w:tblStyle w:val="6"/>
        <w:tblW w:w="8309" w:type="dxa"/>
        <w:tblInd w:w="96" w:type="dxa"/>
        <w:tblLayout w:type="fixed"/>
        <w:tblCellMar>
          <w:top w:w="0" w:type="dxa"/>
          <w:left w:w="108" w:type="dxa"/>
          <w:bottom w:w="0" w:type="dxa"/>
          <w:right w:w="108" w:type="dxa"/>
        </w:tblCellMar>
      </w:tblPr>
      <w:tblGrid>
        <w:gridCol w:w="689"/>
        <w:gridCol w:w="1603"/>
        <w:gridCol w:w="6017"/>
      </w:tblGrid>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序号</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分类</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auto"/>
                <w:szCs w:val="21"/>
              </w:rPr>
            </w:pPr>
            <w:r>
              <w:rPr>
                <w:rFonts w:hint="eastAsia" w:ascii="仿宋" w:hAnsi="仿宋" w:eastAsia="仿宋" w:cs="仿宋"/>
                <w:b/>
                <w:bCs/>
                <w:color w:val="auto"/>
                <w:kern w:val="0"/>
                <w:szCs w:val="21"/>
              </w:rPr>
              <w:t>项目名称</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甲状腺癌基因组织检测（组织+对照血）</w:t>
            </w:r>
            <w:r>
              <w:rPr>
                <w:rFonts w:hint="eastAsia" w:ascii="仿宋" w:hAnsi="仿宋" w:eastAsia="仿宋" w:cs="仿宋"/>
                <w:color w:val="auto"/>
                <w:kern w:val="0"/>
                <w:szCs w:val="21"/>
              </w:rPr>
              <w:br w:type="textWrapping"/>
            </w:r>
            <w:r>
              <w:rPr>
                <w:rFonts w:hint="eastAsia" w:ascii="仿宋" w:hAnsi="仿宋" w:eastAsia="仿宋" w:cs="仿宋"/>
                <w:color w:val="auto"/>
                <w:kern w:val="0"/>
                <w:szCs w:val="21"/>
              </w:rPr>
              <w:t>（基因数≥</w:t>
            </w:r>
            <w:r>
              <w:rPr>
                <w:rFonts w:hint="eastAsia" w:ascii="仿宋" w:hAnsi="仿宋" w:eastAsia="仿宋" w:cs="仿宋"/>
                <w:color w:val="FF0000"/>
                <w:kern w:val="0"/>
                <w:szCs w:val="21"/>
              </w:rPr>
              <w:t>100</w:t>
            </w:r>
            <w:r>
              <w:rPr>
                <w:rFonts w:hint="eastAsia" w:ascii="仿宋" w:hAnsi="仿宋" w:eastAsia="仿宋" w:cs="仿宋"/>
                <w:color w:val="auto"/>
                <w:kern w:val="0"/>
                <w:szCs w:val="21"/>
              </w:rPr>
              <w:t>个）</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脑胶质瘤多基因组织检测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肺癌靶向用药基因组织/ctDNA检测（+化疗）</w:t>
            </w:r>
            <w:r>
              <w:rPr>
                <w:rFonts w:hint="eastAsia" w:ascii="仿宋" w:hAnsi="仿宋" w:eastAsia="仿宋" w:cs="仿宋"/>
                <w:color w:val="auto"/>
                <w:kern w:val="0"/>
                <w:szCs w:val="21"/>
              </w:rPr>
              <w:br w:type="textWrapping"/>
            </w:r>
            <w:r>
              <w:rPr>
                <w:rFonts w:hint="eastAsia" w:ascii="仿宋" w:hAnsi="仿宋" w:eastAsia="仿宋" w:cs="仿宋"/>
                <w:color w:val="auto"/>
                <w:kern w:val="0"/>
                <w:szCs w:val="21"/>
              </w:rPr>
              <w:t>（+PD- L1）</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消化系统肿瘤靶向免疫基因组织/ctDNA检测(+化疗)</w:t>
            </w:r>
            <w:r>
              <w:rPr>
                <w:rFonts w:hint="eastAsia" w:ascii="仿宋" w:hAnsi="仿宋" w:eastAsia="仿宋" w:cs="仿宋"/>
                <w:color w:val="auto"/>
                <w:kern w:val="0"/>
                <w:szCs w:val="21"/>
              </w:rPr>
              <w:br w:type="textWrapping"/>
            </w:r>
            <w:r>
              <w:rPr>
                <w:rFonts w:hint="eastAsia" w:ascii="仿宋" w:hAnsi="仿宋" w:eastAsia="仿宋" w:cs="仿宋"/>
                <w:color w:val="auto"/>
                <w:kern w:val="0"/>
                <w:szCs w:val="21"/>
              </w:rPr>
              <w:t>（+PD- L1）</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胚系/体系BRCA1/2基因组织检测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乳腺癌/妇瘤靶向免疫用药基因组织/ctDNA检测</w:t>
            </w:r>
            <w:r>
              <w:rPr>
                <w:rFonts w:hint="eastAsia" w:ascii="仿宋" w:hAnsi="仿宋" w:eastAsia="仿宋" w:cs="仿宋"/>
                <w:color w:val="auto"/>
                <w:kern w:val="0"/>
                <w:szCs w:val="21"/>
              </w:rPr>
              <w:br w:type="textWrapping"/>
            </w:r>
            <w:r>
              <w:rPr>
                <w:rFonts w:hint="eastAsia" w:ascii="仿宋" w:hAnsi="仿宋" w:eastAsia="仿宋" w:cs="仿宋"/>
                <w:color w:val="auto"/>
                <w:kern w:val="0"/>
                <w:szCs w:val="21"/>
              </w:rPr>
              <w:t>（+化疗）（+PD- L1）</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肿瘤靶向免疫化疗用药基因组织/ctDNA检测（+PD- L1）</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同源重组修复缺陷（HRD）评分检测（组织+血液）</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胃肠道间质瘤(GIST）检测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泌尿系统肿瘤靶向免疫基因组织/ctDNA检测+化疗</w:t>
            </w:r>
            <w:r>
              <w:rPr>
                <w:rFonts w:hint="eastAsia" w:ascii="仿宋" w:hAnsi="仿宋" w:eastAsia="仿宋" w:cs="仿宋"/>
                <w:color w:val="auto"/>
                <w:kern w:val="0"/>
                <w:szCs w:val="21"/>
              </w:rPr>
              <w:br w:type="textWrapping"/>
            </w:r>
            <w:r>
              <w:rPr>
                <w:rFonts w:hint="eastAsia" w:ascii="仿宋" w:hAnsi="仿宋" w:eastAsia="仿宋" w:cs="仿宋"/>
                <w:color w:val="auto"/>
                <w:kern w:val="0"/>
                <w:szCs w:val="21"/>
              </w:rPr>
              <w:t>（+PD- L1）</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甲状腺癌基因检测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Lynch综合征（林奇综合征）基因检测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子宫内膜癌分子分型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14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男性/女性肿瘤易感基因筛查（ngs）</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实体瘤伴随诊断—NGS</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肝胆胰肿瘤靶向免疫用药基因组织/ctDNA检测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男性/女性高发肿瘤风险基因筛查（≥20种）</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乳腺癌预后21用药基因组织检测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无创大肠癌分子筛查（Septin9）/大肠癌粪便SDC2基因检测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结直肠癌个体化用药基因组织检测套餐</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20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膀胱癌细胞染色体及基因异常检测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2</w:t>
            </w:r>
            <w:r>
              <w:rPr>
                <w:rFonts w:hint="eastAsia" w:ascii="仿宋" w:hAnsi="仿宋" w:eastAsia="仿宋" w:cs="仿宋"/>
                <w:color w:val="auto"/>
                <w:kern w:val="0"/>
                <w:sz w:val="22"/>
                <w:szCs w:val="22"/>
                <w:lang w:val="en-US" w:eastAsia="zh-CN"/>
              </w:rPr>
              <w:t>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FF0000"/>
                <w:kern w:val="0"/>
                <w:szCs w:val="21"/>
              </w:rPr>
              <w:t>循环肿瘤细胞CTC外周血检测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2</w:t>
            </w:r>
            <w:r>
              <w:rPr>
                <w:rFonts w:hint="eastAsia" w:ascii="仿宋" w:hAnsi="仿宋" w:eastAsia="仿宋" w:cs="仿宋"/>
                <w:color w:val="auto"/>
                <w:kern w:val="0"/>
                <w:sz w:val="22"/>
                <w:szCs w:val="22"/>
                <w:lang w:val="en-US" w:eastAsia="zh-CN"/>
              </w:rPr>
              <w:t>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软组织肉瘤基因组织检测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2</w:t>
            </w:r>
            <w:r>
              <w:rPr>
                <w:rFonts w:hint="eastAsia" w:ascii="仿宋" w:hAnsi="仿宋" w:eastAsia="仿宋" w:cs="仿宋"/>
                <w:color w:val="auto"/>
                <w:kern w:val="0"/>
                <w:sz w:val="22"/>
                <w:szCs w:val="22"/>
                <w:lang w:val="en-US" w:eastAsia="zh-CN"/>
              </w:rPr>
              <w:t>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甲状腺 BRAF 和 TERT 双基因突变检测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2</w:t>
            </w:r>
            <w:r>
              <w:rPr>
                <w:rFonts w:hint="eastAsia" w:ascii="仿宋" w:hAnsi="仿宋" w:eastAsia="仿宋" w:cs="仿宋"/>
                <w:color w:val="auto"/>
                <w:kern w:val="0"/>
                <w:sz w:val="22"/>
                <w:szCs w:val="22"/>
                <w:lang w:val="en-US" w:eastAsia="zh-CN"/>
              </w:rPr>
              <w:t>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肺癌/肠癌基因变异联合超敏检测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2</w:t>
            </w:r>
            <w:r>
              <w:rPr>
                <w:rFonts w:hint="eastAsia" w:ascii="仿宋" w:hAnsi="仿宋" w:eastAsia="仿宋" w:cs="仿宋"/>
                <w:color w:val="auto"/>
                <w:kern w:val="0"/>
                <w:sz w:val="22"/>
                <w:szCs w:val="22"/>
                <w:lang w:val="en-US" w:eastAsia="zh-CN"/>
              </w:rPr>
              <w:t>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实体瘤伴随诊断</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肺癌/尿路上皮癌基因甲基化检测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26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家系全外显子测序（TrioWES）</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27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全基因组测序(WGS)</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28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线粒体遗传病整体解决方案（线粒体遗传病相关的核基因及线粒体全基因检测）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29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遗传病整体解决方案（WES、CNV-seq、线粒体全基因）</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30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遗传病携带者筛查</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31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痴呆与认知障碍疾病相关基因检测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32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帕金森与运动障碍相关基因检测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33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遗传代谢性肝病基因检测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34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金属代谢障碍基因检测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35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遗传性周围神经病基因检测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36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内分泌疾病基因检测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3</w:t>
            </w:r>
            <w:r>
              <w:rPr>
                <w:rFonts w:hint="eastAsia" w:ascii="仿宋" w:hAnsi="仿宋" w:eastAsia="仿宋" w:cs="仿宋"/>
                <w:color w:val="auto"/>
                <w:kern w:val="0"/>
                <w:sz w:val="22"/>
                <w:szCs w:val="22"/>
                <w:lang w:val="en-US" w:eastAsia="zh-CN"/>
              </w:rPr>
              <w:t>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经典型先天性肾上腺皮质增生症</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3</w:t>
            </w:r>
            <w:r>
              <w:rPr>
                <w:rFonts w:hint="eastAsia" w:ascii="仿宋" w:hAnsi="仿宋" w:eastAsia="仿宋" w:cs="仿宋"/>
                <w:color w:val="auto"/>
                <w:kern w:val="0"/>
                <w:sz w:val="22"/>
                <w:szCs w:val="22"/>
                <w:lang w:val="en-US" w:eastAsia="zh-CN"/>
              </w:rPr>
              <w:t>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先天性肾上腺皮质增生症整体解决方案</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3</w:t>
            </w:r>
            <w:r>
              <w:rPr>
                <w:rFonts w:hint="eastAsia" w:ascii="仿宋" w:hAnsi="仿宋" w:eastAsia="仿宋" w:cs="仿宋"/>
                <w:color w:val="auto"/>
                <w:kern w:val="0"/>
                <w:sz w:val="22"/>
                <w:szCs w:val="22"/>
                <w:lang w:val="en-US" w:eastAsia="zh-CN"/>
              </w:rPr>
              <w:t>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多囊肾PKD1/2基因检测（MLPA）</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脊髓小脑共济失调（SCA）动态突变</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共济失调整体解决方案（NGS+PCR）</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血友病相关基因突变检测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Beckwith-Wiedemann综合征基因检测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Silver-Russell综合征基因检测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天使综合征</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Prader-Willi综合征</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47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结节性硬化症TSC1/2基因检测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4</w:t>
            </w:r>
            <w:r>
              <w:rPr>
                <w:rFonts w:hint="eastAsia" w:ascii="仿宋" w:hAnsi="仿宋" w:eastAsia="仿宋" w:cs="仿宋"/>
                <w:color w:val="auto"/>
                <w:kern w:val="0"/>
                <w:sz w:val="22"/>
                <w:szCs w:val="22"/>
                <w:lang w:val="en-US" w:eastAsia="zh-CN"/>
              </w:rPr>
              <w:t>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遗传性痉挛性截瘫基因检测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4</w:t>
            </w:r>
            <w:r>
              <w:rPr>
                <w:rFonts w:hint="eastAsia" w:ascii="仿宋" w:hAnsi="仿宋" w:eastAsia="仿宋" w:cs="仿宋"/>
                <w:color w:val="auto"/>
                <w:kern w:val="0"/>
                <w:sz w:val="22"/>
                <w:szCs w:val="22"/>
                <w:lang w:val="en-US" w:eastAsia="zh-CN"/>
              </w:rPr>
              <w:t>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腓骨肌萎缩症1A型(CMT1A)MLPA检测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50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假肥大型肌营养不良(DMD)MLPA检测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51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NIID神经元核内包涵体病基因检测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52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亨廷顿舞蹈症检测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53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肯尼迪病检测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54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强直性肌营养不良检测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55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新生儿遗传病基因筛查</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56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流产物染色体拷贝数变异检测(CNV-seq)</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5</w:t>
            </w:r>
            <w:r>
              <w:rPr>
                <w:rFonts w:hint="eastAsia" w:ascii="仿宋" w:hAnsi="仿宋" w:eastAsia="仿宋" w:cs="仿宋"/>
                <w:color w:val="auto"/>
                <w:kern w:val="0"/>
                <w:sz w:val="22"/>
                <w:szCs w:val="22"/>
                <w:lang w:val="en-US" w:eastAsia="zh-CN"/>
              </w:rPr>
              <w:t>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遗传性耳聋检测基因</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5</w:t>
            </w:r>
            <w:r>
              <w:rPr>
                <w:rFonts w:hint="eastAsia" w:ascii="仿宋" w:hAnsi="仿宋" w:eastAsia="仿宋" w:cs="仿宋"/>
                <w:color w:val="auto"/>
                <w:kern w:val="0"/>
                <w:sz w:val="22"/>
                <w:szCs w:val="22"/>
                <w:lang w:val="en-US" w:eastAsia="zh-CN"/>
              </w:rPr>
              <w:t>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男性/女性肿瘤易感全面筛查升级版（ngs）（≥20种疾病）</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5</w:t>
            </w:r>
            <w:r>
              <w:rPr>
                <w:rFonts w:hint="eastAsia" w:ascii="仿宋" w:hAnsi="仿宋" w:eastAsia="仿宋" w:cs="仿宋"/>
                <w:color w:val="auto"/>
                <w:kern w:val="0"/>
                <w:sz w:val="22"/>
                <w:szCs w:val="22"/>
                <w:lang w:val="en-US" w:eastAsia="zh-CN"/>
              </w:rPr>
              <w:t>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儿童/成人染色体拷贝数变异检测(CNV-seq)</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60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脊髓性肌萎缩症(SMA)检测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61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遗传病单基因检测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62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子痫前期风险评估</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63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脆性X综合征</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64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三高及并发症基因检测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65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全外显子健康体检套餐</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6</w:t>
            </w:r>
            <w:r>
              <w:rPr>
                <w:rFonts w:hint="eastAsia" w:ascii="仿宋" w:hAnsi="仿宋" w:eastAsia="仿宋" w:cs="仿宋"/>
                <w:color w:val="auto"/>
                <w:kern w:val="0"/>
                <w:sz w:val="22"/>
                <w:szCs w:val="22"/>
                <w:lang w:val="en-US" w:eastAsia="zh-CN"/>
              </w:rPr>
              <w:t>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叶酸与营养元素代谢能力基因检测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6</w:t>
            </w:r>
            <w:r>
              <w:rPr>
                <w:rFonts w:hint="eastAsia" w:ascii="仿宋" w:hAnsi="仿宋" w:eastAsia="仿宋" w:cs="仿宋"/>
                <w:color w:val="auto"/>
                <w:kern w:val="0"/>
                <w:sz w:val="22"/>
                <w:szCs w:val="22"/>
                <w:lang w:val="en-US" w:eastAsia="zh-CN"/>
              </w:rPr>
              <w:t>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遗传病基因检测NGS Panel</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6</w:t>
            </w:r>
            <w:r>
              <w:rPr>
                <w:rFonts w:hint="eastAsia" w:ascii="仿宋" w:hAnsi="仿宋" w:eastAsia="仿宋" w:cs="仿宋"/>
                <w:color w:val="auto"/>
                <w:kern w:val="0"/>
                <w:sz w:val="22"/>
                <w:szCs w:val="22"/>
                <w:lang w:val="en-US" w:eastAsia="zh-CN"/>
              </w:rPr>
              <w:t>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全外显子测序（WES）</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6</w:t>
            </w:r>
            <w:r>
              <w:rPr>
                <w:rFonts w:hint="eastAsia" w:ascii="仿宋" w:hAnsi="仿宋" w:eastAsia="仿宋" w:cs="仿宋"/>
                <w:color w:val="auto"/>
                <w:kern w:val="0"/>
                <w:sz w:val="22"/>
                <w:szCs w:val="22"/>
                <w:lang w:val="en-US" w:eastAsia="zh-CN"/>
              </w:rPr>
              <w:t>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体重及健康管理基因检测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70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烟酒、咖啡牛奶代谢基因检测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71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分子遗传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肌肤基因检测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72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基因重排检测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73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白血病NGS检测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74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淋巴瘤NGS检测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75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RNA-seq</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7</w:t>
            </w:r>
            <w:r>
              <w:rPr>
                <w:rFonts w:hint="eastAsia" w:ascii="仿宋" w:hAnsi="仿宋" w:eastAsia="仿宋" w:cs="仿宋"/>
                <w:color w:val="auto"/>
                <w:kern w:val="0"/>
                <w:sz w:val="22"/>
                <w:szCs w:val="22"/>
                <w:lang w:val="en-US" w:eastAsia="zh-CN"/>
              </w:rPr>
              <w:t>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血液病NGS检测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77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淋巴造血组织病理+免疫组化</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78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初诊免疫分型CD系列检测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79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其他疾病流式CD检测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残留病灶CD检测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CAR-T疗效监测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骨髓染色体核型分析</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分子核型分析（染色体基因芯片CMA）</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血液肿瘤分子原位杂交 FISH 检测套餐</w:t>
            </w:r>
          </w:p>
        </w:tc>
      </w:tr>
      <w:tr>
        <w:tblPrEx>
          <w:tblCellMar>
            <w:top w:w="0" w:type="dxa"/>
            <w:left w:w="108" w:type="dxa"/>
            <w:bottom w:w="0" w:type="dxa"/>
            <w:right w:w="108" w:type="dxa"/>
          </w:tblCellMar>
        </w:tblPrEx>
        <w:trPr>
          <w:trHeight w:val="90"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血液肿瘤分子原位杂交 FISH 检测单项</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融合基因定性筛查套餐</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BCR-ABL融合基因定量检测套餐</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PML-RARA融合基因定量检测套餐</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BCR-ABL1罕见型</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90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融合基因检测单项</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91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基因突变检测套餐</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92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基因突变检测单项</w:t>
            </w:r>
          </w:p>
        </w:tc>
      </w:tr>
      <w:tr>
        <w:tblPrEx>
          <w:tblCellMar>
            <w:top w:w="0" w:type="dxa"/>
            <w:left w:w="108" w:type="dxa"/>
            <w:bottom w:w="0" w:type="dxa"/>
            <w:right w:w="108" w:type="dxa"/>
          </w:tblCellMar>
        </w:tblPrEx>
        <w:trPr>
          <w:trHeight w:val="576"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93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血液病</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基因表达水平检测项目</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抗栓个性化用药基因检测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氯吡格雷+阿司匹林个性化用药基因检测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儿童安全用药基因检测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精神类疾病个性化用药基因检测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精神分裂症个性化用药基因检测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抑郁症个性化用药基因检测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癫痫个性化用药基因检测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焦虑个性化用药基因检测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镇静催眠个性化用药基因检测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阿尔茨海默症个性化用药基因检测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注意缺陷多动障碍个性化用药基因检测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心脑血管个性化用药指导检测（基因数≥</w:t>
            </w:r>
            <w:r>
              <w:rPr>
                <w:rFonts w:hint="eastAsia" w:ascii="仿宋" w:hAnsi="仿宋" w:eastAsia="仿宋" w:cs="仿宋"/>
                <w:color w:val="FF0000"/>
                <w:kern w:val="0"/>
                <w:szCs w:val="21"/>
              </w:rPr>
              <w:t>20</w:t>
            </w:r>
            <w:r>
              <w:rPr>
                <w:rFonts w:hint="eastAsia" w:ascii="仿宋" w:hAnsi="仿宋" w:eastAsia="仿宋" w:cs="仿宋"/>
                <w:color w:val="auto"/>
                <w:kern w:val="0"/>
                <w:szCs w:val="21"/>
              </w:rPr>
              <w:t>个）</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106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用药基因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高血压个性化用药指导基因检测（基因数≥</w:t>
            </w:r>
            <w:r>
              <w:rPr>
                <w:rFonts w:hint="eastAsia" w:ascii="仿宋" w:hAnsi="仿宋" w:eastAsia="仿宋" w:cs="仿宋"/>
                <w:color w:val="FF0000"/>
                <w:kern w:val="0"/>
                <w:szCs w:val="21"/>
              </w:rPr>
              <w:t>9</w:t>
            </w:r>
            <w:r>
              <w:rPr>
                <w:rFonts w:hint="eastAsia" w:ascii="仿宋" w:hAnsi="仿宋" w:eastAsia="仿宋" w:cs="仿宋"/>
                <w:color w:val="auto"/>
                <w:kern w:val="0"/>
                <w:szCs w:val="21"/>
              </w:rPr>
              <w:t>个）</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2"/>
                <w:sz w:val="22"/>
                <w:szCs w:val="22"/>
                <w:lang w:val="en-US" w:eastAsia="zh-CN" w:bidi="ar-SA"/>
              </w:rPr>
            </w:pPr>
            <w:r>
              <w:rPr>
                <w:rFonts w:hint="eastAsia" w:ascii="仿宋" w:hAnsi="仿宋" w:eastAsia="仿宋" w:cs="仿宋"/>
                <w:color w:val="auto"/>
                <w:kern w:val="0"/>
                <w:sz w:val="22"/>
                <w:szCs w:val="22"/>
                <w:lang w:val="en-US" w:eastAsia="zh-CN"/>
              </w:rPr>
              <w:t>107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中枢系统脱髓鞘抗体检测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108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小脑炎抗体谱检测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109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副肿瘤抗体检测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lang w:val="en-US" w:eastAsia="zh-CN"/>
              </w:rPr>
              <w:t>110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周围神经病检测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神经肌肉抗体检测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sz w:val="22"/>
                <w:szCs w:val="22"/>
                <w:lang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特发性肌炎抗体谱检测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寡克隆区带综合分析</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中枢神经脱髓鞘抗体检测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神经节苷脂抗体检测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郎飞氏结抗体检测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神经自免</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阿尔茨海默症4项</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18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串联质谱-营养元素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脂溶性维生素群（串联质谱法）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119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串联质谱-营养元素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lang w:val="en-US" w:eastAsia="zh-CN"/>
              </w:rPr>
              <w:t>水</w:t>
            </w:r>
            <w:r>
              <w:rPr>
                <w:rFonts w:hint="eastAsia" w:ascii="仿宋" w:hAnsi="仿宋" w:eastAsia="仿宋" w:cs="仿宋"/>
                <w:color w:val="auto"/>
                <w:kern w:val="0"/>
                <w:szCs w:val="21"/>
              </w:rPr>
              <w:t>溶性维生素群（串联质谱法）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串联质谱-营养元素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1890" w:firstLineChars="900"/>
              <w:jc w:val="both"/>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lang w:val="en-US" w:eastAsia="zh-CN"/>
              </w:rPr>
              <w:t>辅酶Q10</w:t>
            </w:r>
            <w:r>
              <w:rPr>
                <w:rFonts w:hint="eastAsia" w:ascii="仿宋" w:hAnsi="仿宋" w:eastAsia="仿宋" w:cs="仿宋"/>
                <w:color w:val="auto"/>
                <w:kern w:val="0"/>
                <w:szCs w:val="21"/>
              </w:rPr>
              <w:t>（串联质谱法）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串联质谱-内分泌</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lang w:val="en-US" w:eastAsia="zh-CN"/>
              </w:rPr>
              <w:t>甾体激素</w:t>
            </w:r>
            <w:r>
              <w:rPr>
                <w:rFonts w:hint="eastAsia" w:ascii="仿宋" w:hAnsi="仿宋" w:eastAsia="仿宋" w:cs="仿宋"/>
                <w:color w:val="auto"/>
                <w:kern w:val="0"/>
                <w:szCs w:val="21"/>
              </w:rPr>
              <w:t>（串联质谱法）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串联质谱-内分泌</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lang w:val="en-US" w:eastAsia="zh-CN"/>
              </w:rPr>
              <w:t>氨基酸谱</w:t>
            </w:r>
            <w:r>
              <w:rPr>
                <w:rFonts w:hint="eastAsia" w:ascii="仿宋" w:hAnsi="仿宋" w:eastAsia="仿宋" w:cs="仿宋"/>
                <w:color w:val="auto"/>
                <w:kern w:val="0"/>
                <w:szCs w:val="21"/>
              </w:rPr>
              <w:t>（串联质谱法）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串联质谱-继发性高血压</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盐皮质激素相关高血压筛查（≥8项，含干扰药物筛查）</w:t>
            </w:r>
            <w:r>
              <w:rPr>
                <w:rFonts w:hint="eastAsia" w:ascii="仿宋" w:hAnsi="仿宋" w:eastAsia="仿宋" w:cs="仿宋"/>
                <w:color w:val="auto"/>
                <w:kern w:val="0"/>
                <w:szCs w:val="21"/>
              </w:rPr>
              <w:br w:type="textWrapping"/>
            </w:r>
            <w:r>
              <w:rPr>
                <w:rFonts w:hint="eastAsia" w:ascii="仿宋" w:hAnsi="仿宋" w:eastAsia="仿宋" w:cs="仿宋"/>
                <w:color w:val="auto"/>
                <w:kern w:val="0"/>
                <w:szCs w:val="21"/>
              </w:rPr>
              <w:t>（串联质谱法）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串联质谱-继发性高血压</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lang w:val="en-US" w:eastAsia="zh-CN"/>
              </w:rPr>
              <w:t>儿茶酚胺（血、尿）</w:t>
            </w:r>
            <w:r>
              <w:rPr>
                <w:rFonts w:hint="eastAsia" w:ascii="仿宋" w:hAnsi="仿宋" w:eastAsia="仿宋" w:cs="仿宋"/>
                <w:color w:val="auto"/>
                <w:kern w:val="0"/>
                <w:szCs w:val="21"/>
              </w:rPr>
              <w:br w:type="textWrapping"/>
            </w:r>
            <w:r>
              <w:rPr>
                <w:rFonts w:hint="eastAsia" w:ascii="仿宋" w:hAnsi="仿宋" w:eastAsia="仿宋" w:cs="仿宋"/>
                <w:color w:val="auto"/>
                <w:kern w:val="0"/>
                <w:szCs w:val="21"/>
              </w:rPr>
              <w:t>（串联质谱法）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阿法替尼（串联质谱法）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吉非替尼（串联质谱法）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串联质谱-营养元素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维生素B族（串联质谱法）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串联质谱-营养元素</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维生素ADEK+维生素B129（串联质谱法）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129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抗肿瘤类药物浓度（串联质谱法）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抗精神病药物浓度（串联质谱法）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抗癫痫药物浓度（串联质谱法）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抗抑郁药物浓度（串联质谱法）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抗焦虑催眠药物浓度（串联质谱法）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抗老年痴呆药物浓度（串联质谱法）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免疫抑制剂药物浓度（串联质谱法）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抗菌类药物浓度（串联质谱法）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137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串联质谱-药物浓度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0"/>
                <w:szCs w:val="21"/>
              </w:rPr>
              <w:t>抗结核药物浓度（串联质谱法）</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38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(功能医学)全套女性/男性荷尔蒙健康评估</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3</w:t>
            </w:r>
            <w:r>
              <w:rPr>
                <w:rFonts w:hint="eastAsia" w:ascii="仿宋" w:hAnsi="仿宋" w:eastAsia="仿宋" w:cs="仿宋"/>
                <w:color w:val="auto"/>
                <w:kern w:val="0"/>
                <w:sz w:val="22"/>
                <w:szCs w:val="22"/>
              </w:rPr>
              <w:t>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(功能医学)营养及毒性元素分析（全血/尿液）</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w:t>
            </w:r>
            <w:r>
              <w:rPr>
                <w:rFonts w:hint="eastAsia" w:ascii="仿宋" w:hAnsi="仿宋" w:eastAsia="仿宋" w:cs="仿宋"/>
                <w:color w:val="auto"/>
                <w:kern w:val="0"/>
                <w:sz w:val="22"/>
                <w:szCs w:val="22"/>
              </w:rPr>
              <w:t>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(功能医学)营养元素分析（全血）</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w:t>
            </w:r>
            <w:r>
              <w:rPr>
                <w:rFonts w:hint="eastAsia" w:ascii="仿宋" w:hAnsi="仿宋" w:eastAsia="仿宋" w:cs="仿宋"/>
                <w:color w:val="auto"/>
                <w:kern w:val="0"/>
                <w:sz w:val="22"/>
                <w:szCs w:val="22"/>
              </w:rPr>
              <w:t>1</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 xml:space="preserve"> (功能医学)尿碘的精准检测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w:t>
            </w:r>
            <w:r>
              <w:rPr>
                <w:rFonts w:hint="eastAsia" w:ascii="仿宋" w:hAnsi="仿宋" w:eastAsia="仿宋" w:cs="仿宋"/>
                <w:color w:val="auto"/>
                <w:kern w:val="0"/>
                <w:sz w:val="22"/>
                <w:szCs w:val="22"/>
              </w:rPr>
              <w:t>2</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(功能医学)心血管代谢症候群健康评估</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w:t>
            </w:r>
            <w:r>
              <w:rPr>
                <w:rFonts w:hint="eastAsia" w:ascii="仿宋" w:hAnsi="仿宋" w:eastAsia="仿宋" w:cs="仿宋"/>
                <w:color w:val="auto"/>
                <w:kern w:val="0"/>
                <w:sz w:val="22"/>
                <w:szCs w:val="22"/>
              </w:rPr>
              <w:t>3</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(功能医学)压力与性激素平衡评估（男/女）</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w:t>
            </w:r>
            <w:r>
              <w:rPr>
                <w:rFonts w:hint="eastAsia" w:ascii="仿宋" w:hAnsi="仿宋" w:eastAsia="仿宋" w:cs="仿宋"/>
                <w:color w:val="auto"/>
                <w:kern w:val="0"/>
                <w:sz w:val="22"/>
                <w:szCs w:val="22"/>
              </w:rPr>
              <w:t>4</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(功能医学)骨代谢健康评估</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45</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感染</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结核分枝杆菌鉴定及利福平耐药基因检测(XpertMTB/RIF)</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46</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感染</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病原体宏基因DNA/RNA/DNA+RNA测序（二代测序）</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 w:val="22"/>
                <w:szCs w:val="22"/>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47</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感染</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乙肝病毒基因分型测定</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48</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感染</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szCs w:val="21"/>
              </w:rPr>
            </w:pPr>
            <w:r>
              <w:rPr>
                <w:rFonts w:hint="eastAsia" w:ascii="仿宋" w:hAnsi="仿宋" w:eastAsia="仿宋" w:cs="仿宋"/>
                <w:color w:val="auto"/>
                <w:kern w:val="0"/>
                <w:szCs w:val="21"/>
              </w:rPr>
              <w:t>病毒性脑炎</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49</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病理</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PD-L1（SP263/22C3)蛋白表达组织检测</w:t>
            </w:r>
          </w:p>
        </w:tc>
      </w:tr>
      <w:tr>
        <w:tblPrEx>
          <w:tblCellMar>
            <w:top w:w="0" w:type="dxa"/>
            <w:left w:w="108" w:type="dxa"/>
            <w:bottom w:w="0" w:type="dxa"/>
            <w:right w:w="108" w:type="dxa"/>
          </w:tblCellMar>
        </w:tblPrEx>
        <w:trPr>
          <w:trHeight w:val="28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rPr>
              <w:t>1</w:t>
            </w:r>
            <w:r>
              <w:rPr>
                <w:rFonts w:hint="eastAsia" w:ascii="仿宋" w:hAnsi="仿宋" w:eastAsia="仿宋" w:cs="仿宋"/>
                <w:color w:val="auto"/>
                <w:kern w:val="0"/>
                <w:sz w:val="22"/>
                <w:szCs w:val="22"/>
                <w:lang w:val="en-US" w:eastAsia="zh-CN"/>
              </w:rPr>
              <w:t>50</w:t>
            </w:r>
          </w:p>
        </w:tc>
        <w:tc>
          <w:tcPr>
            <w:tcW w:w="16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0"/>
                <w:szCs w:val="21"/>
              </w:rPr>
            </w:pPr>
            <w:r>
              <w:rPr>
                <w:rFonts w:hint="eastAsia" w:ascii="仿宋" w:hAnsi="仿宋" w:eastAsia="仿宋" w:cs="仿宋"/>
                <w:color w:val="auto"/>
                <w:kern w:val="0"/>
                <w:szCs w:val="21"/>
              </w:rPr>
              <w:t>病理</w:t>
            </w:r>
          </w:p>
        </w:tc>
        <w:tc>
          <w:tcPr>
            <w:tcW w:w="6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auto"/>
                <w:kern w:val="0"/>
                <w:szCs w:val="21"/>
              </w:rPr>
            </w:pPr>
            <w:r>
              <w:rPr>
                <w:rFonts w:hint="eastAsia" w:ascii="仿宋" w:hAnsi="仿宋" w:eastAsia="仿宋" w:cs="仿宋"/>
                <w:color w:val="FF0000"/>
                <w:kern w:val="0"/>
                <w:szCs w:val="21"/>
              </w:rPr>
              <w:t>远程病理</w:t>
            </w:r>
          </w:p>
        </w:tc>
      </w:tr>
    </w:tbl>
    <w:p>
      <w:pPr>
        <w:spacing w:line="360" w:lineRule="auto"/>
        <w:rPr>
          <w:rFonts w:ascii="仿宋" w:hAnsi="仿宋" w:eastAsia="仿宋" w:cs="仿宋"/>
          <w:color w:val="auto"/>
          <w:spacing w:val="-7"/>
          <w:sz w:val="24"/>
        </w:rPr>
      </w:pPr>
    </w:p>
    <w:p>
      <w:pPr>
        <w:spacing w:line="360" w:lineRule="auto"/>
        <w:rPr>
          <w:rFonts w:ascii="仿宋" w:hAnsi="仿宋" w:eastAsia="仿宋" w:cs="仿宋"/>
          <w:b/>
          <w:color w:val="auto"/>
          <w:spacing w:val="1"/>
          <w:sz w:val="36"/>
          <w:szCs w:val="36"/>
        </w:rPr>
      </w:pPr>
      <w:r>
        <w:rPr>
          <w:rFonts w:hint="eastAsia" w:ascii="仿宋" w:hAnsi="仿宋" w:eastAsia="仿宋" w:cs="仿宋"/>
          <w:color w:val="auto"/>
          <w:spacing w:val="-7"/>
          <w:sz w:val="24"/>
          <w:u w:val="single"/>
        </w:rPr>
        <w:t>注：以上为部分项目清单，未来可根据临床检测需求，开展实体肿瘤 NGS 检测</w:t>
      </w:r>
      <w:r>
        <w:rPr>
          <w:rFonts w:hint="eastAsia" w:ascii="仿宋" w:hAnsi="仿宋" w:eastAsia="仿宋" w:cs="仿宋"/>
          <w:color w:val="auto"/>
          <w:spacing w:val="-7"/>
          <w:sz w:val="24"/>
          <w:u w:val="single"/>
          <w:lang w:eastAsia="zh-CN"/>
        </w:rPr>
        <w:t>、</w:t>
      </w:r>
      <w:r>
        <w:rPr>
          <w:rFonts w:hint="eastAsia" w:ascii="仿宋" w:hAnsi="仿宋" w:eastAsia="仿宋" w:cs="仿宋"/>
          <w:color w:val="auto"/>
          <w:spacing w:val="-7"/>
          <w:sz w:val="24"/>
          <w:u w:val="single"/>
        </w:rPr>
        <w:t>质谱类（含小分子检测、药物基因相关检测）、血液病分子检测、感染相关检测、遗传病 NGS 检测、病理类项目等大类新增项目及单项或多项组合套餐。</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99FCE7"/>
    <w:multiLevelType w:val="singleLevel"/>
    <w:tmpl w:val="C099FCE7"/>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DD6718"/>
    <w:rsid w:val="09937F44"/>
    <w:rsid w:val="0D8B10FD"/>
    <w:rsid w:val="0E7A3145"/>
    <w:rsid w:val="11085D12"/>
    <w:rsid w:val="1ADE1B43"/>
    <w:rsid w:val="1C41576A"/>
    <w:rsid w:val="1DEF49F3"/>
    <w:rsid w:val="1E8D6303"/>
    <w:rsid w:val="222C38A7"/>
    <w:rsid w:val="25DD6718"/>
    <w:rsid w:val="282B6D42"/>
    <w:rsid w:val="348C12D1"/>
    <w:rsid w:val="383D2D78"/>
    <w:rsid w:val="3AB2234A"/>
    <w:rsid w:val="3B5E38BF"/>
    <w:rsid w:val="3F922D4B"/>
    <w:rsid w:val="47780993"/>
    <w:rsid w:val="4DBE1949"/>
    <w:rsid w:val="4F9917EF"/>
    <w:rsid w:val="546910BC"/>
    <w:rsid w:val="66CE2B84"/>
    <w:rsid w:val="68111D84"/>
    <w:rsid w:val="703D02D7"/>
    <w:rsid w:val="70DA498F"/>
    <w:rsid w:val="794068D3"/>
    <w:rsid w:val="7A6D4FCC"/>
    <w:rsid w:val="7BD51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line="360" w:lineRule="auto"/>
    </w:pPr>
    <w:rPr>
      <w:rFonts w:eastAsia="仿宋_GB2312"/>
      <w:sz w:val="28"/>
    </w:rPr>
  </w:style>
  <w:style w:type="paragraph" w:styleId="3">
    <w:name w:val="Body Text First Indent"/>
    <w:basedOn w:val="2"/>
    <w:next w:val="1"/>
    <w:qFormat/>
    <w:uiPriority w:val="0"/>
    <w:pPr>
      <w:spacing w:after="120" w:line="240" w:lineRule="auto"/>
      <w:ind w:firstLine="420" w:firstLineChars="100"/>
    </w:pPr>
    <w:rPr>
      <w:rFonts w:eastAsia="宋体"/>
      <w:sz w:val="21"/>
    </w:rPr>
  </w:style>
  <w:style w:type="paragraph" w:styleId="4">
    <w:name w:val="Body Text Indent"/>
    <w:basedOn w:val="1"/>
    <w:qFormat/>
    <w:uiPriority w:val="99"/>
    <w:pPr>
      <w:spacing w:after="120"/>
      <w:ind w:left="420" w:leftChars="200"/>
    </w:pPr>
  </w:style>
  <w:style w:type="paragraph" w:styleId="5">
    <w:name w:val="Body Text First Indent 2"/>
    <w:basedOn w:val="4"/>
    <w:qFormat/>
    <w:uiPriority w:val="0"/>
    <w:pPr>
      <w:ind w:firstLine="420" w:firstLineChars="200"/>
    </w:pPr>
  </w:style>
  <w:style w:type="paragraph" w:customStyle="1" w:styleId="8">
    <w:name w:val="样式1"/>
    <w:basedOn w:val="1"/>
    <w:qFormat/>
    <w:uiPriority w:val="0"/>
    <w:pPr>
      <w:spacing w:line="360" w:lineRule="exact"/>
      <w:ind w:firstLine="200" w:firstLineChars="200"/>
    </w:pPr>
    <w:rPr>
      <w:sz w:val="20"/>
    </w:rPr>
  </w:style>
  <w:style w:type="character" w:customStyle="1" w:styleId="9">
    <w:name w:val="font61"/>
    <w:basedOn w:val="7"/>
    <w:qFormat/>
    <w:uiPriority w:val="0"/>
    <w:rPr>
      <w:rFonts w:hint="default" w:ascii="等线" w:hAnsi="等线" w:eastAsia="等线" w:cs="等线"/>
      <w:color w:val="000000"/>
      <w:sz w:val="22"/>
      <w:szCs w:val="22"/>
      <w:u w:val="none"/>
    </w:rPr>
  </w:style>
  <w:style w:type="character" w:customStyle="1" w:styleId="10">
    <w:name w:val="font21"/>
    <w:basedOn w:val="7"/>
    <w:qFormat/>
    <w:uiPriority w:val="0"/>
    <w:rPr>
      <w:rFonts w:hint="default" w:ascii="等线" w:hAnsi="等线" w:eastAsia="等线" w:cs="等线"/>
      <w:color w:val="000000"/>
      <w:sz w:val="22"/>
      <w:szCs w:val="22"/>
      <w:u w:val="none"/>
    </w:rPr>
  </w:style>
  <w:style w:type="character" w:customStyle="1" w:styleId="11">
    <w:name w:val="font01"/>
    <w:basedOn w:val="7"/>
    <w:qFormat/>
    <w:uiPriority w:val="0"/>
    <w:rPr>
      <w:rFonts w:hint="eastAsia" w:ascii="宋体" w:hAnsi="宋体" w:eastAsia="宋体" w:cs="宋体"/>
      <w:color w:val="000000"/>
      <w:sz w:val="22"/>
      <w:szCs w:val="22"/>
      <w:u w:val="none"/>
    </w:rPr>
  </w:style>
  <w:style w:type="character" w:customStyle="1" w:styleId="12">
    <w:name w:val="font31"/>
    <w:basedOn w:val="7"/>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5446</Words>
  <Characters>5907</Characters>
  <Lines>0</Lines>
  <Paragraphs>0</Paragraphs>
  <TotalTime>130</TotalTime>
  <ScaleCrop>false</ScaleCrop>
  <LinksUpToDate>false</LinksUpToDate>
  <CharactersWithSpaces>5934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2024-12-10T00:09:00Z</dcterms:created>
  <dc:creator>a</dc:creator>
  <cp:lastModifiedBy>石文龙</cp:lastModifiedBy>
  <dcterms:modified xsi:type="dcterms:W3CDTF">2025-10-13T03:01:50Z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278B896C82A84E39AA8D3C4E074C15F3</vt:lpwstr>
  </property>
</Properties>
</file>