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410" w:firstLineChars="600"/>
        <w:rPr>
          <w:rFonts w:hint="eastAsia" w:ascii="仿宋" w:hAnsi="仿宋" w:eastAsia="仿宋" w:cs="仿宋"/>
          <w:b/>
          <w:bCs/>
          <w:color w:val="auto"/>
          <w:spacing w:val="-3"/>
          <w:sz w:val="24"/>
          <w:lang w:val="en-US" w:eastAsia="zh-CN"/>
        </w:rPr>
      </w:pPr>
      <w:r>
        <w:rPr>
          <w:rFonts w:hint="eastAsia" w:ascii="仿宋" w:hAnsi="仿宋" w:eastAsia="仿宋" w:cs="仿宋"/>
          <w:b/>
          <w:bCs/>
          <w:color w:val="auto"/>
          <w:spacing w:val="-3"/>
          <w:sz w:val="24"/>
          <w:lang w:val="en-US" w:eastAsia="zh-CN"/>
        </w:rPr>
        <w:t>绍兴第二医院医共体总院精准医学中心运行服务项目采购需求</w:t>
      </w:r>
    </w:p>
    <w:p>
      <w:pPr>
        <w:pStyle w:val="2"/>
        <w:rPr>
          <w:rFonts w:hint="default"/>
          <w:lang w:val="en-US" w:eastAsia="zh-CN"/>
        </w:rPr>
      </w:pP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一</w:t>
      </w:r>
      <w:r>
        <w:rPr>
          <w:rFonts w:hint="eastAsia" w:ascii="仿宋" w:hAnsi="仿宋" w:eastAsia="仿宋" w:cs="仿宋"/>
          <w:b/>
          <w:bCs/>
          <w:color w:val="auto"/>
          <w:spacing w:val="-3"/>
          <w:sz w:val="24"/>
        </w:rPr>
        <w:t>、服务要求和内容</w:t>
      </w:r>
    </w:p>
    <w:p>
      <w:pPr>
        <w:spacing w:line="360" w:lineRule="auto"/>
        <w:rPr>
          <w:rFonts w:ascii="仿宋" w:hAnsi="仿宋" w:eastAsia="仿宋" w:cs="仿宋"/>
          <w:color w:val="auto"/>
          <w:spacing w:val="-3"/>
          <w:sz w:val="24"/>
        </w:rPr>
      </w:pPr>
      <w:r>
        <w:rPr>
          <w:rFonts w:hint="eastAsia" w:ascii="仿宋" w:hAnsi="仿宋" w:eastAsia="仿宋" w:cs="仿宋"/>
          <w:color w:val="auto"/>
          <w:spacing w:val="-3"/>
          <w:sz w:val="24"/>
        </w:rPr>
        <w:t>（一）服务要求</w:t>
      </w:r>
      <w:bookmarkStart w:id="0" w:name="_GoBack"/>
      <w:bookmarkEnd w:id="0"/>
    </w:p>
    <w:p>
      <w:pPr>
        <w:tabs>
          <w:tab w:val="left" w:pos="1440"/>
        </w:tabs>
        <w:spacing w:line="360" w:lineRule="auto"/>
        <w:ind w:firstLine="420" w:firstLineChars="200"/>
        <w:rPr>
          <w:rFonts w:ascii="仿宋" w:hAnsi="仿宋" w:eastAsia="仿宋" w:cs="仿宋"/>
          <w:color w:val="auto"/>
          <w:sz w:val="24"/>
        </w:rPr>
      </w:pPr>
      <w:r>
        <w:rPr>
          <w:rFonts w:hint="eastAsia"/>
          <w:lang w:val="en-US" w:eastAsia="zh-CN"/>
        </w:rPr>
        <w:t>1、投标人所提供的产品应符合国家有关的质量标准及相应的行业标准。对已纳入国家医疗器械管理目录且国内已有获批有证试剂盒的检测项目，供应商须使用有注册证的试剂盒；对于附件3开展项目：国内尚无有效注册证试剂盒的实验室自建项目(LDTs)，供应商须确保所用试剂来源合法、质量可靠、性能经充分验证，并符合实验室检测规范及行业技术标准。此类项目开展前须由采购人履行院内论证、审批及主管部门备案程序。如附件3中临床有需求的、经院内备案开展的检测项目，因“国内无注册证试剂盒”、“本省无匹配收费条码”引发的被查风险，采购方和供应商应友好协商解决。如因供应商试剂本身质量问题所产生的一切后果及损失由中标人承担。</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w:t>
      </w:r>
      <w:r>
        <w:rPr>
          <w:rFonts w:hint="eastAsia"/>
          <w:lang w:val="en-US" w:eastAsia="zh-CN"/>
        </w:rPr>
        <w:t>因</w:t>
      </w:r>
      <w:r>
        <w:rPr>
          <w:rFonts w:hint="eastAsia"/>
        </w:rPr>
        <w:t>中标人</w:t>
      </w:r>
      <w:r>
        <w:rPr>
          <w:rFonts w:hint="eastAsia"/>
          <w:lang w:val="en-US" w:eastAsia="zh-CN"/>
        </w:rPr>
        <w:t>提供的精准医学检测项目的质量问题（如检测错误、延误、报告不准确等）导致的医疗投诉或纠纷，中标人应承担相应责任，包括</w:t>
      </w:r>
      <w:r>
        <w:rPr>
          <w:rFonts w:hint="eastAsia"/>
        </w:rPr>
        <w:t>协助采购人做好患者的协调工作</w:t>
      </w:r>
      <w:r>
        <w:rPr>
          <w:rFonts w:hint="eastAsia"/>
          <w:lang w:eastAsia="zh-CN"/>
        </w:rPr>
        <w:t>、</w:t>
      </w:r>
      <w:r>
        <w:rPr>
          <w:rFonts w:hint="eastAsia"/>
          <w:lang w:val="en-US" w:eastAsia="zh-CN"/>
        </w:rPr>
        <w:t>提供专业解释，</w:t>
      </w:r>
      <w:r>
        <w:rPr>
          <w:rFonts w:hint="eastAsia"/>
        </w:rPr>
        <w:t>并承担相关的处理和赔偿费用。</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3、协议期内，由于代理权限的转移或者公司注销等原因，中标人应以书面的形式说明原因并协助医院做好产品的延续工作，同时采购人有权重新确定新的供应商。</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4.合同期内如遇上级部门集中采购、组织开展联合采购或其他有关政策，与合同条款或合同供应模式发生冲突的，则医院有权单方解除合同，不视为医院违约，且双方互不承担责任。</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5.合同期:</w:t>
      </w:r>
      <w:r>
        <w:rPr>
          <w:rFonts w:hint="eastAsia" w:ascii="仿宋" w:hAnsi="仿宋" w:eastAsia="仿宋" w:cs="仿宋"/>
          <w:color w:val="FF0000"/>
          <w:sz w:val="24"/>
          <w:lang w:val="en-US" w:eastAsia="zh-CN"/>
        </w:rPr>
        <w:t>3</w:t>
      </w:r>
      <w:r>
        <w:rPr>
          <w:rFonts w:hint="eastAsia" w:ascii="仿宋" w:hAnsi="仿宋" w:eastAsia="仿宋" w:cs="仿宋"/>
          <w:color w:val="auto"/>
          <w:sz w:val="24"/>
        </w:rPr>
        <w:t>年。若在合同期内中标人不能正常履约的，医院重新组织招标，并没收供应商</w:t>
      </w:r>
      <w:r>
        <w:rPr>
          <w:rFonts w:hint="eastAsia" w:ascii="仿宋" w:hAnsi="仿宋" w:eastAsia="仿宋" w:cs="仿宋"/>
          <w:color w:val="FF0000"/>
          <w:sz w:val="24"/>
        </w:rPr>
        <w:t>履约保证金</w:t>
      </w:r>
      <w:r>
        <w:rPr>
          <w:rFonts w:hint="eastAsia" w:ascii="仿宋" w:hAnsi="仿宋" w:eastAsia="仿宋" w:cs="仿宋"/>
          <w:color w:val="auto"/>
          <w:sz w:val="24"/>
        </w:rPr>
        <w:t>（中标人需在签约前缴纳中标金额</w:t>
      </w:r>
      <w:r>
        <w:rPr>
          <w:rFonts w:hint="eastAsia" w:ascii="仿宋" w:hAnsi="仿宋" w:eastAsia="仿宋" w:cs="仿宋"/>
          <w:color w:val="auto"/>
          <w:sz w:val="24"/>
          <w:lang w:val="en-US" w:eastAsia="zh-CN"/>
        </w:rPr>
        <w:t>0.5</w:t>
      </w:r>
      <w:r>
        <w:rPr>
          <w:rFonts w:hint="eastAsia" w:ascii="仿宋" w:hAnsi="仿宋" w:eastAsia="仿宋" w:cs="仿宋"/>
          <w:color w:val="auto"/>
          <w:sz w:val="24"/>
        </w:rPr>
        <w:t>%的履约保证金）。合同到期后，重新组织招标，原中标人如未中标，需在规定的时间内</w:t>
      </w:r>
      <w:r>
        <w:rPr>
          <w:rFonts w:hint="eastAsia" w:ascii="仿宋" w:hAnsi="仿宋" w:eastAsia="仿宋" w:cs="仿宋"/>
          <w:color w:val="auto"/>
          <w:sz w:val="24"/>
          <w:lang w:val="en-US" w:eastAsia="zh-CN"/>
        </w:rPr>
        <w:t>运</w:t>
      </w:r>
      <w:r>
        <w:rPr>
          <w:rFonts w:hint="eastAsia" w:ascii="仿宋" w:hAnsi="仿宋" w:eastAsia="仿宋" w:cs="仿宋"/>
          <w:color w:val="auto"/>
          <w:sz w:val="24"/>
        </w:rPr>
        <w:t>走其所属设备，逾期未取回的，采购人不负保管义务。</w:t>
      </w:r>
    </w:p>
    <w:p>
      <w:pPr>
        <w:pStyle w:val="5"/>
        <w:ind w:left="0" w:leftChars="0" w:firstLine="48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6.中标人需遵守保密制度，保护受检者的秘密，未经许可，不得向无关人员泄露受检者的检测情况。</w:t>
      </w:r>
      <w:r>
        <w:rPr>
          <w:rFonts w:hint="eastAsia" w:ascii="仿宋" w:hAnsi="仿宋" w:eastAsia="仿宋" w:cs="仿宋"/>
          <w:color w:val="000000" w:themeColor="text1"/>
          <w:sz w:val="24"/>
          <w:highlight w:val="none"/>
          <w:lang w:val="en-US" w:eastAsia="zh-CN"/>
          <w14:textFill>
            <w14:solidFill>
              <w14:schemeClr w14:val="tx1"/>
            </w14:solidFill>
          </w14:textFill>
        </w:rPr>
        <w:t>送检标本仅用于送检目的的特定用途，未经采购人同意，投标人不得挪用送检标本用于科研及其他用途；涉及遗传生物信息的标本，投标人需遵守《中华人民共和国人类遗传资源管理条例》，规范标本管理，保护患者隐私。</w:t>
      </w:r>
    </w:p>
    <w:p>
      <w:pPr>
        <w:pStyle w:val="5"/>
        <w:ind w:left="0" w:leftChars="0" w:firstLine="480"/>
        <w:rPr>
          <w:rFonts w:ascii="仿宋" w:hAnsi="仿宋" w:eastAsia="仿宋" w:cs="仿宋"/>
          <w:color w:val="auto"/>
          <w:sz w:val="24"/>
        </w:rPr>
      </w:pPr>
      <w:r>
        <w:rPr>
          <w:rFonts w:hint="eastAsia" w:ascii="仿宋" w:hAnsi="仿宋" w:eastAsia="仿宋" w:cs="仿宋"/>
          <w:color w:val="auto"/>
          <w:sz w:val="24"/>
        </w:rPr>
        <w:t>7.</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开展项目所需设备及试剂耗材等按医院要求统一管理。</w:t>
      </w:r>
    </w:p>
    <w:p>
      <w:pPr>
        <w:tabs>
          <w:tab w:val="left" w:pos="1440"/>
        </w:tabs>
        <w:spacing w:line="360" w:lineRule="auto"/>
        <w:rPr>
          <w:rFonts w:ascii="仿宋" w:hAnsi="仿宋" w:eastAsia="仿宋" w:cs="仿宋"/>
          <w:color w:val="auto"/>
          <w:sz w:val="24"/>
        </w:rPr>
      </w:pPr>
      <w:r>
        <w:rPr>
          <w:rFonts w:hint="eastAsia" w:ascii="仿宋" w:hAnsi="仿宋" w:eastAsia="仿宋" w:cs="仿宋"/>
          <w:color w:val="auto"/>
          <w:sz w:val="24"/>
        </w:rPr>
        <w:t>（二）服务内容</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供应商提供“精准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中心”平台的整体技术输出服务，包括但不限于：场地规划</w:t>
      </w:r>
      <w:r>
        <w:rPr>
          <w:rFonts w:hint="eastAsia" w:ascii="仿宋" w:hAnsi="仿宋" w:eastAsia="仿宋" w:cs="仿宋"/>
          <w:color w:val="000000" w:themeColor="text1"/>
          <w:sz w:val="24"/>
          <w14:textFill>
            <w14:solidFill>
              <w14:schemeClr w14:val="tx1"/>
            </w14:solidFill>
          </w14:textFill>
        </w:rPr>
        <w:t>设计</w:t>
      </w:r>
      <w:r>
        <w:rPr>
          <w:rFonts w:hint="eastAsia" w:ascii="仿宋" w:hAnsi="仿宋" w:eastAsia="仿宋" w:cs="仿宋"/>
          <w:color w:val="000000" w:themeColor="text1"/>
          <w:sz w:val="24"/>
          <w:lang w:val="en-US" w:eastAsia="zh-CN"/>
          <w14:textFill>
            <w14:solidFill>
              <w14:schemeClr w14:val="tx1"/>
            </w14:solidFill>
          </w14:textFill>
        </w:rPr>
        <w:t>与装修</w:t>
      </w:r>
      <w:r>
        <w:rPr>
          <w:rFonts w:hint="eastAsia" w:ascii="仿宋" w:hAnsi="仿宋" w:eastAsia="仿宋" w:cs="仿宋"/>
          <w:color w:val="auto"/>
          <w:sz w:val="24"/>
        </w:rPr>
        <w:t>、人员培训、质量体系建设、协助项目开展、技术与研发服务支持、科研合作、技术咨询等。具体内容如下：</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1场地规划与设计</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1.1由采购人负责提供符合“精准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中心”使用要求的场地和建筑图纸，并对中心电、水、网络、消防的现场实施及场地改建</w:t>
      </w:r>
      <w:r>
        <w:rPr>
          <w:rFonts w:hint="eastAsia" w:ascii="仿宋" w:hAnsi="仿宋" w:eastAsia="仿宋" w:cs="仿宋"/>
          <w:color w:val="FF0000"/>
          <w:sz w:val="24"/>
          <w:lang w:val="en-US" w:eastAsia="zh-CN"/>
        </w:rPr>
        <w:t>提供协助</w:t>
      </w:r>
      <w:r>
        <w:rPr>
          <w:rFonts w:hint="eastAsia" w:ascii="仿宋" w:hAnsi="仿宋" w:eastAsia="仿宋" w:cs="仿宋"/>
          <w:color w:val="auto"/>
          <w:sz w:val="24"/>
        </w:rPr>
        <w:t>。</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1.2供应商根据采购人提供的场地建筑图纸，在符合实验室场地改造及满足生物安全需求的条件下</w:t>
      </w:r>
      <w:r>
        <w:rPr>
          <w:rFonts w:hint="eastAsia" w:ascii="仿宋" w:hAnsi="仿宋" w:eastAsia="仿宋" w:cs="仿宋"/>
          <w:color w:val="FF0000"/>
          <w:sz w:val="24"/>
        </w:rPr>
        <w:t>，提供场地规划</w:t>
      </w:r>
      <w:r>
        <w:rPr>
          <w:rFonts w:hint="eastAsia" w:ascii="仿宋" w:hAnsi="仿宋" w:eastAsia="仿宋" w:cs="仿宋"/>
          <w:color w:val="FF0000"/>
          <w:sz w:val="24"/>
          <w:lang w:eastAsia="zh-CN"/>
        </w:rPr>
        <w:t>、</w:t>
      </w:r>
      <w:r>
        <w:rPr>
          <w:rFonts w:hint="eastAsia" w:ascii="仿宋" w:hAnsi="仿宋" w:eastAsia="仿宋" w:cs="仿宋"/>
          <w:color w:val="FF0000"/>
          <w:sz w:val="24"/>
        </w:rPr>
        <w:t>设计及品牌策划</w:t>
      </w:r>
      <w:r>
        <w:rPr>
          <w:rFonts w:hint="eastAsia" w:ascii="仿宋" w:hAnsi="仿宋" w:eastAsia="仿宋" w:cs="仿宋"/>
          <w:color w:val="FF0000"/>
          <w:sz w:val="24"/>
          <w:lang w:val="en-US" w:eastAsia="zh-CN"/>
        </w:rPr>
        <w:t>等</w:t>
      </w:r>
      <w:r>
        <w:rPr>
          <w:rFonts w:hint="eastAsia" w:ascii="仿宋" w:hAnsi="仿宋" w:eastAsia="仿宋" w:cs="仿宋"/>
          <w:color w:val="FF0000"/>
          <w:sz w:val="24"/>
        </w:rPr>
        <w:t>服务</w:t>
      </w:r>
      <w:r>
        <w:rPr>
          <w:rFonts w:hint="eastAsia" w:ascii="仿宋" w:hAnsi="仿宋" w:eastAsia="仿宋" w:cs="仿宋"/>
          <w:color w:val="auto"/>
          <w:sz w:val="24"/>
        </w:rPr>
        <w:t>。</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2设备与试剂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2.1由中标人</w:t>
      </w:r>
      <w:r>
        <w:rPr>
          <w:rFonts w:hint="eastAsia" w:ascii="仿宋" w:hAnsi="仿宋" w:eastAsia="仿宋" w:cs="仿宋"/>
          <w:color w:val="auto"/>
          <w:sz w:val="24"/>
          <w:lang w:val="en-US" w:eastAsia="zh-CN"/>
        </w:rPr>
        <w:t>按需</w:t>
      </w:r>
      <w:r>
        <w:rPr>
          <w:rFonts w:hint="eastAsia" w:ascii="仿宋" w:hAnsi="仿宋" w:eastAsia="仿宋" w:cs="仿宋"/>
          <w:color w:val="auto"/>
          <w:sz w:val="24"/>
        </w:rPr>
        <w:t>提供高通量测序技术平台、质谱等项目开展所需的设备（</w:t>
      </w:r>
      <w:r>
        <w:rPr>
          <w:rFonts w:hint="eastAsia" w:ascii="仿宋" w:hAnsi="仿宋" w:eastAsia="仿宋" w:cs="仿宋"/>
          <w:color w:val="FF0000"/>
          <w:sz w:val="24"/>
        </w:rPr>
        <w:t>详见</w:t>
      </w:r>
      <w:r>
        <w:rPr>
          <w:rFonts w:hint="eastAsia" w:ascii="仿宋" w:hAnsi="仿宋" w:eastAsia="仿宋" w:cs="仿宋"/>
          <w:color w:val="FF0000"/>
          <w:sz w:val="24"/>
          <w:lang w:val="en-US" w:eastAsia="zh-CN"/>
        </w:rPr>
        <w:t>后</w:t>
      </w:r>
      <w:r>
        <w:rPr>
          <w:rFonts w:hint="eastAsia" w:ascii="仿宋" w:hAnsi="仿宋" w:eastAsia="仿宋" w:cs="仿宋"/>
          <w:color w:val="FF0000"/>
          <w:sz w:val="24"/>
        </w:rPr>
        <w:t>附件 1</w:t>
      </w:r>
      <w:r>
        <w:rPr>
          <w:rFonts w:hint="eastAsia" w:ascii="仿宋" w:hAnsi="仿宋" w:eastAsia="仿宋" w:cs="仿宋"/>
          <w:color w:val="FF0000"/>
          <w:sz w:val="24"/>
          <w:lang w:eastAsia="zh-CN"/>
        </w:rPr>
        <w:t>、</w:t>
      </w:r>
      <w:r>
        <w:rPr>
          <w:rFonts w:hint="eastAsia" w:ascii="仿宋" w:hAnsi="仿宋" w:eastAsia="仿宋" w:cs="仿宋"/>
          <w:color w:val="FF0000"/>
          <w:sz w:val="24"/>
          <w:lang w:val="en-US" w:eastAsia="zh-CN"/>
        </w:rPr>
        <w:t>2</w:t>
      </w:r>
      <w:r>
        <w:rPr>
          <w:rFonts w:hint="eastAsia" w:ascii="仿宋" w:hAnsi="仿宋" w:eastAsia="仿宋" w:cs="仿宋"/>
          <w:color w:val="auto"/>
          <w:sz w:val="24"/>
        </w:rPr>
        <w:t>）以确保医院需要开展的相关项目能顺利开展，并在采购人规范管理下负责这些设备的维修保养、检定、校准等工作，保证日常工作正常开展。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2.2中标人应协助采购人拟</w:t>
      </w:r>
      <w:r>
        <w:rPr>
          <w:rFonts w:hint="eastAsia" w:ascii="仿宋" w:hAnsi="仿宋" w:eastAsia="仿宋" w:cs="仿宋"/>
          <w:color w:val="auto"/>
          <w:sz w:val="24"/>
          <w:lang w:val="en-US" w:eastAsia="zh-CN"/>
        </w:rPr>
        <w:t>定</w:t>
      </w:r>
      <w:r>
        <w:rPr>
          <w:rFonts w:hint="eastAsia" w:ascii="仿宋" w:hAnsi="仿宋" w:eastAsia="仿宋" w:cs="仿宋"/>
          <w:color w:val="auto"/>
          <w:sz w:val="24"/>
        </w:rPr>
        <w:t>设备管理操作手册，并对设备操作人员培训上岗，以保证设备的使用、维护保养与校准等管理符合全面质量管理体系的要求。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2.3中标人负责“精准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中心”开展项目所需耗材、试剂的管理和采购。中标人应确保技术平台相关试剂符合质量管理要求，满足仪器设备开展检测项目的要求。</w:t>
      </w:r>
      <w:r>
        <w:rPr>
          <w:rFonts w:hint="eastAsia" w:ascii="仿宋" w:hAnsi="仿宋" w:eastAsia="仿宋" w:cs="仿宋"/>
          <w:color w:val="auto"/>
          <w:sz w:val="24"/>
          <w:highlight w:val="none"/>
        </w:rPr>
        <w:t>相关试剂和</w:t>
      </w:r>
      <w:r>
        <w:rPr>
          <w:rFonts w:ascii="仿宋" w:hAnsi="仿宋" w:eastAsia="仿宋" w:cs="仿宋"/>
          <w:color w:val="auto"/>
          <w:sz w:val="24"/>
          <w:highlight w:val="none"/>
        </w:rPr>
        <w:t>耗材的验收、入库等按医院要求进行管理。</w:t>
      </w:r>
      <w:r>
        <w:rPr>
          <w:rFonts w:hint="eastAsia" w:ascii="仿宋" w:hAnsi="仿宋" w:eastAsia="仿宋" w:cs="仿宋"/>
          <w:color w:val="auto"/>
          <w:sz w:val="24"/>
        </w:rPr>
        <w:t>收费、出报告等流程要符合医院管理要求。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3资质与质量体系</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3.1中标人应协助医院完善高通量测序平台、质谱平台等技术支持，包括：性能验证、资料整理等相关支持。“精准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中心”新建平台上开展的项目以及实验室管理将按照 ISO 15189 质量体系标准，提供项目开展的规范化 SOP操作流程，确保检测诊断质量；高通量测序平台、质谱平台将参考</w:t>
      </w:r>
      <w:r>
        <w:rPr>
          <w:rFonts w:hint="eastAsia" w:ascii="仿宋" w:hAnsi="仿宋" w:eastAsia="仿宋" w:cs="仿宋"/>
          <w:color w:val="FF0000"/>
          <w:sz w:val="24"/>
        </w:rPr>
        <w:t xml:space="preserve"> ISO 15189 与 CLSI-C62A </w:t>
      </w:r>
      <w:r>
        <w:rPr>
          <w:rFonts w:hint="eastAsia" w:ascii="仿宋" w:hAnsi="仿宋" w:eastAsia="仿宋" w:cs="仿宋"/>
          <w:color w:val="auto"/>
          <w:sz w:val="24"/>
        </w:rPr>
        <w:t>标准规范建立完整质量体系。供应商应协助对“</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”进行全面质量管理监控体系，使用统一的校准品和质控品，定期进行内部评审。</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3.2</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医疗设备及医用耗材属于医疗器械管理的，供应商应具备有效的医疗器械产品备案证或注册证。属于第一类医疗器械的产品，供应商须具备有效的产品备案凭证；属于第二类医疗器械的产品，供应商须具备有效的产品医疗器械注册证，第二类医疗器械经营备案凭证等相关材料；属于第三类医疗器械的产品，供应商须具备产品有效的产品医疗器械注册证、医疗器械经营许可证。投标产品有生产许可要求的，应具备生产厂家的有效的医疗器械生产企业许可证；且医疗器械生产企业许可证生产范围或医疗器械经营企业许可证经营范围是与投标产品相适用的。</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4人员运营管理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4.1采购人为“精准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中心”指派配备生物类、遗传类等相关专业技术人员，供应商应对其进行相关技术培训和技术协助，使其能独立开展相关检测项目。</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4.2中标人提供1名科室运营管理人员，1名能熟练进行实验操作的技术人员，平台项目自检时技术人员到位，其人力成本由中标人承担。中标人提供的人员应当服从医院管理。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4.3中标人须负责对医院技术人员进行培训，协助医院完成“</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”的培训体系建设；协助医院相关平台技术人员获得上岗证书。</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5实验室技术服务与管理支持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5.1中标人协助科室开展精准诊疗项目（详见</w:t>
      </w:r>
      <w:r>
        <w:rPr>
          <w:rFonts w:hint="eastAsia" w:ascii="仿宋" w:hAnsi="仿宋" w:eastAsia="仿宋" w:cs="仿宋"/>
          <w:color w:val="FF0000"/>
          <w:sz w:val="24"/>
        </w:rPr>
        <w:t>附件3</w:t>
      </w:r>
      <w:r>
        <w:rPr>
          <w:rFonts w:hint="eastAsia" w:ascii="仿宋" w:hAnsi="仿宋" w:eastAsia="仿宋" w:cs="仿宋"/>
          <w:color w:val="auto"/>
          <w:sz w:val="24"/>
        </w:rPr>
        <w:t>），提供技术人员培训、人员带教，技术转移、新项目开展支持等工作，在医院提供院方技术人员的前提下，培养至少</w:t>
      </w:r>
      <w:r>
        <w:rPr>
          <w:rFonts w:hint="eastAsia" w:ascii="仿宋" w:hAnsi="仿宋" w:eastAsia="仿宋" w:cs="仿宋"/>
          <w:color w:val="auto"/>
          <w:sz w:val="24"/>
          <w:u w:val="single"/>
        </w:rPr>
        <w:t xml:space="preserve"> 2 </w:t>
      </w:r>
      <w:r>
        <w:rPr>
          <w:rFonts w:hint="eastAsia" w:ascii="仿宋" w:hAnsi="仿宋" w:eastAsia="仿宋" w:cs="仿宋"/>
          <w:color w:val="auto"/>
          <w:sz w:val="24"/>
        </w:rPr>
        <w:t>名技术人员，在合作期满前能具备数据解读、报告审核等方面的能力，能够独立解决操作中遇到的常见问题。</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5.2中标人协助科室的日常运营管理工作，包括性能验证、SOP 规范化文件、质量控制、项目开展相关资格认证、日常检测、样本至报告发放的全流程管理、报告查询、结果解读等，确保科室能够有序、规范开展项目等。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5.3所开展项目以及实验室日常管理须按照 ISO15189质量体系标准建设，确保检测诊断质量。配合医院三</w:t>
      </w:r>
      <w:r>
        <w:rPr>
          <w:rFonts w:hint="eastAsia" w:ascii="仿宋" w:hAnsi="仿宋" w:eastAsia="仿宋" w:cs="仿宋"/>
          <w:color w:val="auto"/>
          <w:sz w:val="24"/>
          <w:lang w:val="en-US" w:eastAsia="zh-CN"/>
        </w:rPr>
        <w:t>乙</w:t>
      </w:r>
      <w:r>
        <w:rPr>
          <w:rFonts w:hint="eastAsia" w:ascii="仿宋" w:hAnsi="仿宋" w:eastAsia="仿宋" w:cs="仿宋"/>
          <w:color w:val="auto"/>
          <w:sz w:val="24"/>
        </w:rPr>
        <w:t>复审、ISO15189认可</w:t>
      </w:r>
      <w:r>
        <w:rPr>
          <w:rFonts w:hint="eastAsia" w:ascii="仿宋" w:hAnsi="仿宋" w:eastAsia="仿宋" w:cs="仿宋"/>
          <w:color w:val="auto"/>
          <w:sz w:val="24"/>
          <w:lang w:val="en-US" w:eastAsia="zh-CN"/>
        </w:rPr>
        <w:t>申请</w:t>
      </w:r>
      <w:r>
        <w:rPr>
          <w:rFonts w:hint="eastAsia" w:ascii="仿宋" w:hAnsi="仿宋" w:eastAsia="仿宋" w:cs="仿宋"/>
          <w:color w:val="auto"/>
          <w:sz w:val="24"/>
        </w:rPr>
        <w:t>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5.4采购人不能在本地实现开展的项目，由中标人在其独立实验室进行检测，本地具备开展条件的项目，必须在本地开展。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6科研合作及学科支持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6.1根据临床需求及前期研究基础，供应商应结合自身高端前沿技术平台，共同合作开展慢病及健康管理、肿瘤精准诊疗、感染精准防控、遗传精准诊断</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肠道微生态</w:t>
      </w:r>
      <w:r>
        <w:rPr>
          <w:rFonts w:hint="eastAsia" w:ascii="仿宋" w:hAnsi="仿宋" w:eastAsia="仿宋" w:cs="仿宋"/>
          <w:color w:val="auto"/>
          <w:sz w:val="24"/>
        </w:rPr>
        <w:t>等领域的合作，协助科室制定科研项目方案，跟踪科研目标进展，协助成果产出，推动学科发展。</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中标人具有多组学科研平台，能够提供非靶向代谢组学、蛋白组学、微生物组学等科研项目检测服务，辅助医院学科的科学研究。基于采购人相关科室在科研工作中存在的需求，中标人需给予协作。需提供详细的科研合作方案。</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7冷链运输</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7.1中标人必须配备完善医疗冷链物流系统和信息服务体系，所有检测试剂或者耗材运送必须符合温度的管理要求，采用相应的冷链运送技术，要保证检测试剂或者耗材的运输过程的安全，保证质量。</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7.2所有检测试剂或者耗材运送必须采用符合相关标准的冷链物流车或转送车辆及冷链物流箱。</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7.3提供可实时监控物流各个环节的温度的系统和终端设备，能够对物流的全程进行温度监控、报警及记录，能够对整个过程进行溯源管理。</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8检测服务</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8.1中标人提供专职运营管理团队，解决医院送检及报告过程中所发生的应急问题。运营人员应具有</w:t>
      </w:r>
      <w:r>
        <w:rPr>
          <w:rFonts w:hint="eastAsia" w:ascii="仿宋" w:hAnsi="仿宋" w:eastAsia="仿宋" w:cs="仿宋"/>
          <w:bCs/>
          <w:color w:val="auto"/>
          <w:sz w:val="24"/>
          <w:lang w:val="en-US" w:eastAsia="zh-CN"/>
        </w:rPr>
        <w:t>生信、</w:t>
      </w:r>
      <w:r>
        <w:rPr>
          <w:rFonts w:hint="eastAsia" w:ascii="仿宋" w:hAnsi="仿宋" w:eastAsia="仿宋" w:cs="仿宋"/>
          <w:bCs/>
          <w:color w:val="auto"/>
          <w:sz w:val="24"/>
        </w:rPr>
        <w:t>质谱相关学习经验和科研经验。</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8.2中标人提供</w:t>
      </w:r>
      <w:r>
        <w:rPr>
          <w:rFonts w:hint="eastAsia" w:ascii="仿宋" w:hAnsi="仿宋" w:eastAsia="仿宋" w:cs="仿宋"/>
          <w:bCs/>
          <w:color w:val="auto"/>
          <w:sz w:val="24"/>
          <w:lang w:eastAsia="zh-CN"/>
        </w:rPr>
        <w:t>精准医学中心</w:t>
      </w:r>
      <w:r>
        <w:rPr>
          <w:rFonts w:hint="eastAsia" w:ascii="仿宋" w:hAnsi="仿宋" w:eastAsia="仿宋" w:cs="仿宋"/>
          <w:bCs/>
          <w:color w:val="auto"/>
          <w:sz w:val="24"/>
        </w:rPr>
        <w:t>检测项目所需的相关软件，如需与医院HIS或LIS系统进行对接，产生的接口费由中标人承担，并进行后期运营服务。</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8.3合同签订后医院有新增加开展项目，经医院同意后，按本项目合同的折扣进行项目新增入院。</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二</w:t>
      </w:r>
      <w:r>
        <w:rPr>
          <w:rFonts w:hint="eastAsia" w:ascii="仿宋" w:hAnsi="仿宋" w:eastAsia="仿宋" w:cs="仿宋"/>
          <w:b/>
          <w:color w:val="auto"/>
          <w:spacing w:val="-3"/>
          <w:sz w:val="24"/>
        </w:rPr>
        <w:t>、供应商资质</w:t>
      </w:r>
      <w:r>
        <w:rPr>
          <w:rFonts w:hint="eastAsia" w:ascii="仿宋" w:hAnsi="仿宋" w:eastAsia="仿宋" w:cs="仿宋"/>
          <w:b/>
          <w:color w:val="auto"/>
          <w:spacing w:val="-3"/>
          <w:sz w:val="24"/>
          <w:lang w:val="en-US" w:eastAsia="zh-CN"/>
        </w:rPr>
        <w:t>要求</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w:t>
      </w:r>
      <w:r>
        <w:rPr>
          <w:rFonts w:hint="eastAsia" w:ascii="仿宋" w:hAnsi="仿宋" w:eastAsia="仿宋" w:cs="仿宋"/>
          <w:snapToGrid w:val="0"/>
          <w:color w:val="auto"/>
          <w:sz w:val="24"/>
          <w:szCs w:val="21"/>
          <w:lang w:val="en-US" w:eastAsia="zh-CN"/>
        </w:rPr>
        <w:t>供应商</w:t>
      </w:r>
      <w:r>
        <w:rPr>
          <w:rFonts w:hint="eastAsia" w:ascii="仿宋" w:hAnsi="仿宋" w:eastAsia="仿宋" w:cs="仿宋"/>
          <w:snapToGrid w:val="0"/>
          <w:color w:val="auto"/>
          <w:sz w:val="24"/>
          <w:szCs w:val="21"/>
        </w:rPr>
        <w:t>需具有ISO15189医学体系认证标准认证证书,具备独立开展本项目的能力。</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2供应商需提供本项目检测服务的实验室室间质评认证情况：202</w:t>
      </w:r>
      <w:r>
        <w:rPr>
          <w:rFonts w:hint="eastAsia" w:ascii="仿宋" w:hAnsi="仿宋" w:eastAsia="仿宋" w:cs="仿宋"/>
          <w:snapToGrid w:val="0"/>
          <w:color w:val="auto"/>
          <w:sz w:val="24"/>
          <w:szCs w:val="21"/>
          <w:lang w:val="en-US" w:eastAsia="zh-CN"/>
        </w:rPr>
        <w:t>3</w:t>
      </w:r>
      <w:r>
        <w:rPr>
          <w:rFonts w:hint="eastAsia" w:ascii="仿宋" w:hAnsi="仿宋" w:eastAsia="仿宋" w:cs="仿宋"/>
          <w:snapToGrid w:val="0"/>
          <w:color w:val="auto"/>
          <w:sz w:val="24"/>
          <w:szCs w:val="21"/>
        </w:rPr>
        <w:t>年至今获得的国家、省级临检中心室间质评证书数量情况。</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三</w:t>
      </w:r>
      <w:r>
        <w:rPr>
          <w:rFonts w:hint="eastAsia" w:ascii="仿宋" w:hAnsi="仿宋" w:eastAsia="仿宋" w:cs="仿宋"/>
          <w:b/>
          <w:color w:val="auto"/>
          <w:spacing w:val="-3"/>
          <w:sz w:val="24"/>
        </w:rPr>
        <w:t>、运营管理服务</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1满足此次平台建设的设备要求参数，详见</w:t>
      </w:r>
      <w:r>
        <w:rPr>
          <w:rFonts w:hint="eastAsia" w:ascii="仿宋" w:hAnsi="仿宋" w:eastAsia="仿宋" w:cs="仿宋"/>
          <w:snapToGrid w:val="0"/>
          <w:color w:val="auto"/>
          <w:sz w:val="24"/>
          <w:szCs w:val="21"/>
          <w:lang w:val="en-US" w:eastAsia="zh-CN"/>
        </w:rPr>
        <w:t>后</w:t>
      </w:r>
      <w:r>
        <w:rPr>
          <w:rFonts w:hint="eastAsia" w:ascii="仿宋" w:hAnsi="仿宋" w:eastAsia="仿宋" w:cs="仿宋"/>
          <w:snapToGrid w:val="0"/>
          <w:color w:val="FF0000"/>
          <w:sz w:val="24"/>
          <w:szCs w:val="21"/>
        </w:rPr>
        <w:t>附件1和2</w:t>
      </w:r>
      <w:r>
        <w:rPr>
          <w:rFonts w:hint="eastAsia" w:ascii="仿宋" w:hAnsi="仿宋" w:eastAsia="仿宋" w:cs="仿宋"/>
          <w:snapToGrid w:val="0"/>
          <w:color w:val="auto"/>
          <w:sz w:val="24"/>
          <w:szCs w:val="21"/>
        </w:rPr>
        <w:t>。</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2对采购文件“技术服务要求”响应。</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3</w:t>
      </w:r>
      <w:r>
        <w:rPr>
          <w:rFonts w:hint="eastAsia" w:ascii="仿宋" w:hAnsi="仿宋" w:eastAsia="仿宋" w:cs="仿宋"/>
          <w:snapToGrid w:val="0"/>
          <w:color w:val="auto"/>
          <w:sz w:val="24"/>
          <w:szCs w:val="21"/>
        </w:rPr>
        <w:t>为优化</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平台检测质量标准，供应商具有独立的临床</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质量控制软件。</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4</w:t>
      </w:r>
      <w:r>
        <w:rPr>
          <w:rFonts w:hint="eastAsia" w:ascii="仿宋" w:hAnsi="仿宋" w:eastAsia="仿宋" w:cs="仿宋"/>
          <w:snapToGrid w:val="0"/>
          <w:color w:val="auto"/>
          <w:sz w:val="24"/>
          <w:szCs w:val="21"/>
        </w:rPr>
        <w:t>供应商实验室能独立完成“附件3：检测项目清单”中所有检测项目。</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5</w:t>
      </w:r>
      <w:r>
        <w:rPr>
          <w:rFonts w:hint="eastAsia" w:ascii="仿宋" w:hAnsi="仿宋" w:eastAsia="仿宋" w:cs="仿宋"/>
          <w:snapToGrid w:val="0"/>
          <w:color w:val="auto"/>
          <w:sz w:val="24"/>
          <w:szCs w:val="21"/>
        </w:rPr>
        <w:t>提供运营管理服务人员配置及技术团队情况。</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6</w:t>
      </w:r>
      <w:r>
        <w:rPr>
          <w:rFonts w:hint="eastAsia" w:ascii="仿宋" w:hAnsi="仿宋" w:eastAsia="仿宋" w:cs="仿宋"/>
          <w:snapToGrid w:val="0"/>
          <w:color w:val="auto"/>
          <w:sz w:val="24"/>
          <w:szCs w:val="21"/>
        </w:rPr>
        <w:t>提供为本项目服务的冷链物流资质情况。</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7</w:t>
      </w:r>
      <w:r>
        <w:rPr>
          <w:rFonts w:hint="eastAsia" w:ascii="仿宋" w:hAnsi="仿宋" w:eastAsia="仿宋" w:cs="仿宋"/>
          <w:snapToGrid w:val="0"/>
          <w:color w:val="auto"/>
          <w:sz w:val="24"/>
          <w:szCs w:val="21"/>
        </w:rPr>
        <w:t>提供</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平台故障或者紧急事件应急方案。</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rPr>
        <w:t>五、技术服务要求</w:t>
      </w:r>
    </w:p>
    <w:p>
      <w:pPr>
        <w:spacing w:line="360" w:lineRule="auto"/>
        <w:ind w:firstLine="468" w:firstLineChars="200"/>
        <w:rPr>
          <w:rFonts w:hint="default" w:ascii="仿宋" w:hAnsi="仿宋" w:eastAsia="仿宋" w:cs="仿宋"/>
          <w:color w:val="auto"/>
          <w:spacing w:val="-3"/>
          <w:sz w:val="24"/>
          <w:lang w:val="en-US" w:eastAsia="zh-CN"/>
        </w:rPr>
      </w:pPr>
      <w:r>
        <w:rPr>
          <w:rFonts w:hint="eastAsia" w:ascii="仿宋" w:hAnsi="仿宋" w:eastAsia="仿宋" w:cs="仿宋"/>
          <w:color w:val="auto"/>
          <w:spacing w:val="-3"/>
          <w:sz w:val="24"/>
          <w:lang w:val="en-US" w:eastAsia="zh-CN"/>
        </w:rPr>
        <w:t>1.</w:t>
      </w:r>
      <w:r>
        <w:rPr>
          <w:rFonts w:hint="eastAsia" w:ascii="仿宋" w:hAnsi="仿宋" w:eastAsia="仿宋" w:cs="仿宋"/>
          <w:color w:val="auto"/>
          <w:spacing w:val="-3"/>
          <w:sz w:val="24"/>
        </w:rPr>
        <w:t>为满足临床的诊疗需求</w:t>
      </w:r>
      <w:r>
        <w:rPr>
          <w:rFonts w:hint="eastAsia" w:ascii="仿宋" w:hAnsi="仿宋" w:eastAsia="仿宋" w:cs="仿宋"/>
          <w:color w:val="auto"/>
          <w:spacing w:val="-3"/>
          <w:sz w:val="24"/>
          <w:lang w:eastAsia="zh-CN"/>
        </w:rPr>
        <w:t>，</w:t>
      </w:r>
      <w:r>
        <w:rPr>
          <w:rFonts w:hint="eastAsia" w:ascii="仿宋" w:hAnsi="仿宋" w:eastAsia="仿宋" w:cs="仿宋"/>
          <w:color w:val="auto"/>
          <w:spacing w:val="-3"/>
          <w:sz w:val="24"/>
          <w:lang w:val="en-US" w:eastAsia="zh-CN"/>
        </w:rPr>
        <w:t>供应商具有较强的肠道微生态诊治能力，能协助医院肠道微生态健康门诊开办，并提供专家团队证明材料。</w:t>
      </w:r>
    </w:p>
    <w:p>
      <w:pPr>
        <w:spacing w:line="360" w:lineRule="auto"/>
        <w:ind w:firstLine="468" w:firstLineChars="200"/>
        <w:rPr>
          <w:rFonts w:hint="eastAsia" w:ascii="仿宋" w:hAnsi="仿宋" w:eastAsia="仿宋" w:cs="仿宋"/>
          <w:color w:val="auto"/>
          <w:spacing w:val="-3"/>
          <w:sz w:val="24"/>
        </w:rPr>
      </w:pP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供应商具有较强的遗传咨询能力，具有遗传咨询师资质人员和专家团队，针对疑难罕见病例可组织遗传领域专家进行MDT讨论，并协助医院遗传咨询门诊开办，并提供遗传咨询人员和专家团队资质证明材料。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3.</w:t>
      </w:r>
      <w:r>
        <w:rPr>
          <w:rFonts w:hint="eastAsia" w:ascii="仿宋" w:hAnsi="仿宋" w:eastAsia="仿宋" w:cs="仿宋"/>
          <w:color w:val="auto"/>
          <w:spacing w:val="-3"/>
          <w:sz w:val="24"/>
        </w:rPr>
        <w:t>供应商实验室具有非靶向平台代谢组学检测的技术能力，可采用多种数据采集方法，覆盖更多代谢物范围，检测种类包括氨基酸类、糖类、辅酶和维生素类、核苷酸类、脂类、能量代谢物以及菌群相关代谢物和外源性代谢物等八大类物质，能根据医院的要求，对医院提供的批量样本进行高通量代谢组学比较分析，提供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4.</w:t>
      </w:r>
      <w:r>
        <w:rPr>
          <w:rFonts w:hint="eastAsia" w:ascii="仿宋" w:hAnsi="仿宋" w:eastAsia="仿宋" w:cs="仿宋"/>
          <w:color w:val="auto"/>
          <w:spacing w:val="-3"/>
          <w:sz w:val="24"/>
        </w:rPr>
        <w:t>为保障实验结果的准确性，针对</w:t>
      </w:r>
      <w:r>
        <w:rPr>
          <w:rFonts w:hint="eastAsia" w:ascii="仿宋" w:hAnsi="仿宋" w:eastAsia="仿宋" w:cs="仿宋"/>
          <w:color w:val="auto"/>
          <w:spacing w:val="-3"/>
          <w:sz w:val="24"/>
          <w:lang w:val="en-US" w:eastAsia="zh-CN"/>
        </w:rPr>
        <w:t>招标人开展项目在全国临床检验中心、省级及其他同级实验室有开展的室间质评项目</w:t>
      </w:r>
      <w:r>
        <w:rPr>
          <w:rFonts w:hint="eastAsia" w:ascii="仿宋" w:hAnsi="仿宋" w:eastAsia="仿宋" w:cs="仿宋"/>
          <w:color w:val="auto"/>
          <w:spacing w:val="-3"/>
          <w:sz w:val="24"/>
        </w:rPr>
        <w:t>，供应商实验室202</w:t>
      </w: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年以来全国临床和科研实验室室间质量评价应合格，并提供证明材料。</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五</w:t>
      </w:r>
      <w:r>
        <w:rPr>
          <w:rFonts w:hint="eastAsia" w:ascii="仿宋" w:hAnsi="仿宋" w:eastAsia="仿宋" w:cs="仿宋"/>
          <w:b/>
          <w:bCs/>
          <w:color w:val="auto"/>
          <w:spacing w:val="-3"/>
          <w:sz w:val="24"/>
        </w:rPr>
        <w:t>、</w:t>
      </w:r>
      <w:r>
        <w:rPr>
          <w:rFonts w:hint="eastAsia" w:ascii="仿宋" w:hAnsi="仿宋" w:eastAsia="仿宋" w:cs="仿宋"/>
          <w:b/>
          <w:bCs/>
          <w:color w:val="auto"/>
          <w:spacing w:val="-3"/>
          <w:sz w:val="24"/>
          <w:lang w:eastAsia="zh-CN"/>
        </w:rPr>
        <w:t>精准医学中心</w:t>
      </w:r>
      <w:r>
        <w:rPr>
          <w:rFonts w:hint="eastAsia" w:ascii="仿宋" w:hAnsi="仿宋" w:eastAsia="仿宋" w:cs="仿宋"/>
          <w:b/>
          <w:bCs/>
          <w:color w:val="auto"/>
          <w:spacing w:val="-3"/>
          <w:sz w:val="24"/>
        </w:rPr>
        <w:t>同类业绩</w:t>
      </w:r>
    </w:p>
    <w:p>
      <w:pPr>
        <w:pStyle w:val="8"/>
        <w:snapToGrid w:val="0"/>
        <w:spacing w:line="360" w:lineRule="auto"/>
        <w:ind w:firstLine="480"/>
        <w:rPr>
          <w:rFonts w:ascii="仿宋" w:hAnsi="仿宋" w:eastAsia="仿宋" w:cs="仿宋"/>
          <w:color w:val="auto"/>
        </w:rPr>
      </w:pPr>
      <w:r>
        <w:rPr>
          <w:rFonts w:hint="eastAsia" w:ascii="仿宋" w:hAnsi="仿宋" w:eastAsia="仿宋" w:cs="仿宋"/>
          <w:snapToGrid w:val="0"/>
          <w:color w:val="auto"/>
          <w:sz w:val="24"/>
          <w:szCs w:val="21"/>
        </w:rPr>
        <w:t>供应商“</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”建设的经验：提供与最终使用单位的委托合同复印件或协议复印件。</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六</w:t>
      </w:r>
      <w:r>
        <w:rPr>
          <w:rFonts w:hint="eastAsia" w:ascii="仿宋" w:hAnsi="仿宋" w:eastAsia="仿宋" w:cs="仿宋"/>
          <w:b/>
          <w:bCs/>
          <w:color w:val="auto"/>
          <w:spacing w:val="-3"/>
          <w:sz w:val="24"/>
        </w:rPr>
        <w:t>、商务要求</w:t>
      </w:r>
    </w:p>
    <w:p>
      <w:pPr>
        <w:spacing w:line="360" w:lineRule="auto"/>
        <w:rPr>
          <w:rFonts w:ascii="仿宋" w:hAnsi="仿宋" w:eastAsia="仿宋" w:cs="仿宋"/>
          <w:color w:val="auto"/>
          <w:spacing w:val="21"/>
          <w:sz w:val="24"/>
        </w:rPr>
      </w:pPr>
      <w:r>
        <w:rPr>
          <w:rFonts w:hint="eastAsia" w:ascii="仿宋" w:hAnsi="仿宋" w:eastAsia="仿宋" w:cs="仿宋"/>
          <w:color w:val="auto"/>
          <w:spacing w:val="12"/>
          <w:sz w:val="24"/>
        </w:rPr>
        <w:t>1</w:t>
      </w:r>
      <w:r>
        <w:rPr>
          <w:rFonts w:hint="eastAsia" w:ascii="仿宋" w:hAnsi="仿宋" w:eastAsia="仿宋" w:cs="仿宋"/>
          <w:color w:val="auto"/>
          <w:spacing w:val="5"/>
          <w:sz w:val="24"/>
        </w:rPr>
        <w:t>、设备质保</w:t>
      </w:r>
      <w:r>
        <w:rPr>
          <w:rFonts w:hint="eastAsia" w:ascii="仿宋" w:hAnsi="仿宋" w:eastAsia="仿宋" w:cs="仿宋"/>
          <w:color w:val="auto"/>
          <w:spacing w:val="21"/>
          <w:sz w:val="24"/>
        </w:rPr>
        <w:t>期</w:t>
      </w:r>
    </w:p>
    <w:p>
      <w:pPr>
        <w:spacing w:line="360" w:lineRule="auto"/>
        <w:ind w:firstLine="564" w:firstLineChars="200"/>
        <w:rPr>
          <w:rFonts w:ascii="仿宋" w:hAnsi="仿宋" w:eastAsia="仿宋" w:cs="仿宋"/>
          <w:color w:val="auto"/>
          <w:spacing w:val="21"/>
          <w:sz w:val="24"/>
        </w:rPr>
      </w:pPr>
      <w:r>
        <w:rPr>
          <w:rFonts w:hint="eastAsia" w:ascii="仿宋" w:hAnsi="仿宋" w:eastAsia="仿宋" w:cs="仿宋"/>
          <w:color w:val="auto"/>
          <w:spacing w:val="21"/>
          <w:sz w:val="24"/>
        </w:rPr>
        <w:t>质保期</w:t>
      </w:r>
      <w:r>
        <w:rPr>
          <w:rFonts w:hint="eastAsia" w:ascii="仿宋" w:hAnsi="仿宋" w:eastAsia="仿宋" w:cs="仿宋"/>
          <w:color w:val="FF0000"/>
          <w:spacing w:val="21"/>
          <w:sz w:val="24"/>
          <w:lang w:val="en-US" w:eastAsia="zh-CN"/>
        </w:rPr>
        <w:t>3</w:t>
      </w:r>
      <w:r>
        <w:rPr>
          <w:rFonts w:hint="eastAsia" w:ascii="仿宋" w:hAnsi="仿宋" w:eastAsia="仿宋" w:cs="仿宋"/>
          <w:color w:val="auto"/>
          <w:spacing w:val="21"/>
          <w:sz w:val="24"/>
        </w:rPr>
        <w:t>年。</w:t>
      </w:r>
    </w:p>
    <w:p>
      <w:pPr>
        <w:spacing w:line="360" w:lineRule="auto"/>
        <w:rPr>
          <w:rFonts w:ascii="仿宋" w:hAnsi="仿宋" w:eastAsia="仿宋" w:cs="仿宋"/>
          <w:color w:val="auto"/>
          <w:sz w:val="24"/>
        </w:rPr>
      </w:pPr>
      <w:r>
        <w:rPr>
          <w:rFonts w:ascii="仿宋" w:hAnsi="仿宋" w:eastAsia="仿宋" w:cs="仿宋"/>
          <w:color w:val="auto"/>
          <w:spacing w:val="2"/>
          <w:sz w:val="24"/>
        </w:rPr>
        <w:t>2</w:t>
      </w:r>
      <w:r>
        <w:rPr>
          <w:rFonts w:hint="eastAsia" w:ascii="仿宋" w:hAnsi="仿宋" w:eastAsia="仿宋" w:cs="仿宋"/>
          <w:color w:val="auto"/>
          <w:spacing w:val="2"/>
          <w:sz w:val="24"/>
        </w:rPr>
        <w:t>、</w:t>
      </w:r>
      <w:r>
        <w:rPr>
          <w:rFonts w:hint="eastAsia" w:ascii="仿宋" w:hAnsi="仿宋" w:eastAsia="仿宋" w:cs="仿宋"/>
          <w:color w:val="auto"/>
          <w:spacing w:val="4"/>
          <w:sz w:val="24"/>
        </w:rPr>
        <w:t>售后服务</w:t>
      </w:r>
    </w:p>
    <w:p>
      <w:pPr>
        <w:pStyle w:val="2"/>
        <w:ind w:firstLine="480" w:firstLineChars="200"/>
        <w:rPr>
          <w:rFonts w:ascii="仿宋" w:hAnsi="仿宋" w:eastAsia="仿宋" w:cs="仿宋"/>
          <w:color w:val="auto"/>
          <w:sz w:val="24"/>
        </w:rPr>
      </w:pPr>
      <w:r>
        <w:rPr>
          <w:rFonts w:hint="eastAsia" w:ascii="仿宋" w:hAnsi="仿宋" w:eastAsia="仿宋" w:cs="仿宋"/>
          <w:color w:val="auto"/>
          <w:sz w:val="24"/>
        </w:rPr>
        <w:t>中标人负责中心内设备的日常维护、维修所有事务，保证中心正常运行。所有维护、维修费用均由中标人承担。</w:t>
      </w:r>
    </w:p>
    <w:p>
      <w:pPr>
        <w:spacing w:line="360" w:lineRule="auto"/>
        <w:rPr>
          <w:rFonts w:ascii="仿宋" w:hAnsi="仿宋" w:eastAsia="仿宋" w:cs="仿宋"/>
          <w:color w:val="auto"/>
          <w:sz w:val="24"/>
        </w:rPr>
      </w:pPr>
      <w:r>
        <w:rPr>
          <w:rFonts w:ascii="仿宋" w:hAnsi="仿宋" w:eastAsia="仿宋" w:cs="仿宋"/>
          <w:color w:val="auto"/>
          <w:sz w:val="24"/>
        </w:rPr>
        <w:t>3</w:t>
      </w:r>
      <w:r>
        <w:rPr>
          <w:rFonts w:hint="eastAsia" w:ascii="仿宋" w:hAnsi="仿宋" w:eastAsia="仿宋" w:cs="仿宋"/>
          <w:color w:val="auto"/>
          <w:sz w:val="24"/>
        </w:rPr>
        <w:t>、安装调试</w:t>
      </w:r>
    </w:p>
    <w:p>
      <w:pPr>
        <w:spacing w:line="360" w:lineRule="auto"/>
        <w:ind w:firstLine="480" w:firstLineChars="200"/>
        <w:rPr>
          <w:rFonts w:hint="default" w:ascii="仿宋" w:hAnsi="仿宋" w:eastAsia="仿宋" w:cs="仿宋"/>
          <w:color w:val="0000FF"/>
          <w:sz w:val="24"/>
          <w:lang w:val="en-US" w:eastAsia="zh-CN"/>
        </w:rPr>
      </w:pPr>
      <w:r>
        <w:rPr>
          <w:rFonts w:hint="eastAsia" w:ascii="仿宋" w:hAnsi="仿宋" w:eastAsia="仿宋" w:cs="仿宋"/>
          <w:color w:val="auto"/>
          <w:sz w:val="24"/>
        </w:rPr>
        <w:t>3.1安装地点：绍兴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0000FF"/>
          <w:sz w:val="24"/>
          <w:lang w:val="en-US" w:eastAsia="zh-CN"/>
        </w:rPr>
        <w:t>延安路院区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3.2 安装标准：符合我国国家有关技术规范要求和技术标准。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3.3</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安装过程中发生的费用由项目提供方负责。</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3.4 </w:t>
      </w:r>
      <w:r>
        <w:rPr>
          <w:rFonts w:hint="eastAsia" w:ascii="仿宋" w:hAnsi="仿宋" w:eastAsia="仿宋" w:cs="仿宋"/>
          <w:color w:val="auto"/>
          <w:sz w:val="24"/>
          <w:lang w:val="en-US" w:eastAsia="zh-CN"/>
        </w:rPr>
        <w:t>供应商</w:t>
      </w:r>
      <w:r>
        <w:rPr>
          <w:rFonts w:hint="eastAsia" w:ascii="仿宋" w:hAnsi="仿宋" w:eastAsia="仿宋" w:cs="仿宋"/>
          <w:color w:val="auto"/>
          <w:sz w:val="24"/>
        </w:rPr>
        <w:t>应在投标文件中提供其安装调试过程中医院需配合的</w:t>
      </w:r>
      <w:r>
        <w:rPr>
          <w:rFonts w:hint="eastAsia" w:ascii="仿宋" w:hAnsi="仿宋" w:eastAsia="仿宋" w:cs="仿宋"/>
          <w:color w:val="auto"/>
          <w:spacing w:val="7"/>
          <w:sz w:val="24"/>
        </w:rPr>
        <w:t>内容。</w:t>
      </w:r>
    </w:p>
    <w:p>
      <w:pPr>
        <w:spacing w:line="360" w:lineRule="auto"/>
        <w:rPr>
          <w:rFonts w:ascii="仿宋" w:hAnsi="仿宋" w:eastAsia="仿宋" w:cs="仿宋"/>
          <w:color w:val="auto"/>
          <w:sz w:val="24"/>
        </w:rPr>
      </w:pPr>
      <w:r>
        <w:rPr>
          <w:rFonts w:hint="eastAsia" w:ascii="仿宋" w:hAnsi="仿宋" w:eastAsia="仿宋" w:cs="仿宋"/>
          <w:color w:val="auto"/>
          <w:spacing w:val="2"/>
          <w:sz w:val="24"/>
        </w:rPr>
        <w:t>4、</w:t>
      </w:r>
      <w:r>
        <w:rPr>
          <w:rFonts w:hint="eastAsia" w:ascii="仿宋" w:hAnsi="仿宋" w:eastAsia="仿宋" w:cs="仿宋"/>
          <w:color w:val="auto"/>
          <w:spacing w:val="4"/>
          <w:sz w:val="24"/>
        </w:rPr>
        <w:t>验收</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lang w:val="en-US" w:eastAsia="zh-CN"/>
        </w:rPr>
        <w:t>中标人</w:t>
      </w:r>
      <w:r>
        <w:rPr>
          <w:rFonts w:hint="eastAsia" w:ascii="仿宋" w:hAnsi="仿宋" w:eastAsia="仿宋" w:cs="仿宋"/>
          <w:color w:val="auto"/>
          <w:sz w:val="24"/>
        </w:rPr>
        <w:t>负责确认设备的有效检验文件、设备性能指标、合同内容，双方共同签署验收合格证书，以上验收资料整理后交由采购人存档。</w:t>
      </w:r>
    </w:p>
    <w:p>
      <w:pPr>
        <w:spacing w:line="360" w:lineRule="auto"/>
        <w:rPr>
          <w:rFonts w:ascii="仿宋" w:hAnsi="仿宋" w:eastAsia="仿宋" w:cs="仿宋"/>
          <w:color w:val="auto"/>
          <w:sz w:val="24"/>
        </w:rPr>
      </w:pPr>
      <w:r>
        <w:rPr>
          <w:rFonts w:hint="eastAsia" w:ascii="仿宋" w:hAnsi="仿宋" w:eastAsia="仿宋" w:cs="仿宋"/>
          <w:color w:val="auto"/>
          <w:sz w:val="24"/>
        </w:rPr>
        <w:t>5、交货</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 交货期：中标人需承诺签约后六个月内完成精准诊断中心的相关建设，并投入使用。如因采购人另有要求则按采购人要求执行。</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 交货地点：绍兴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auto"/>
          <w:sz w:val="24"/>
          <w:lang w:val="en-US" w:eastAsia="zh-CN"/>
        </w:rPr>
        <w:t>延安路院区</w:t>
      </w:r>
      <w:r>
        <w:rPr>
          <w:rFonts w:hint="eastAsia" w:ascii="仿宋" w:hAnsi="仿宋" w:eastAsia="仿宋" w:cs="仿宋"/>
          <w:color w:val="auto"/>
          <w:sz w:val="24"/>
        </w:rPr>
        <w:t>。</w:t>
      </w:r>
    </w:p>
    <w:p>
      <w:pPr>
        <w:spacing w:line="360" w:lineRule="auto"/>
        <w:rPr>
          <w:rFonts w:ascii="仿宋" w:hAnsi="仿宋" w:eastAsia="仿宋" w:cs="仿宋"/>
          <w:color w:val="auto"/>
          <w:sz w:val="24"/>
        </w:rPr>
      </w:pPr>
      <w:r>
        <w:rPr>
          <w:rFonts w:hint="eastAsia" w:ascii="仿宋" w:hAnsi="仿宋" w:eastAsia="仿宋" w:cs="仿宋"/>
          <w:color w:val="auto"/>
          <w:sz w:val="24"/>
        </w:rPr>
        <w:t>6、风险责任：</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6.1在合同期内，如遇收费标准变化或遇国家政策性因素变化，院方不承担因收费标准、成本变化等不可抗力的因素而造成的损失，具体双方友好协商。</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6.2合同期内物价收费标准的调整：当地物价部门规定的收费标准发生变动时，根据物价收费调整，按调整后的收费标准×服务费收费比例执行；如物价收费标准下降，按下降后的收费标准×服务费收费比例执行。</w:t>
      </w:r>
    </w:p>
    <w:p>
      <w:pPr>
        <w:spacing w:line="360" w:lineRule="auto"/>
        <w:rPr>
          <w:rFonts w:ascii="仿宋" w:hAnsi="仿宋" w:eastAsia="仿宋" w:cs="仿宋"/>
          <w:color w:val="auto"/>
          <w:sz w:val="24"/>
        </w:rPr>
      </w:pPr>
      <w:r>
        <w:rPr>
          <w:rFonts w:hint="eastAsia" w:ascii="仿宋" w:hAnsi="仿宋" w:eastAsia="仿宋" w:cs="仿宋"/>
          <w:color w:val="auto"/>
          <w:sz w:val="24"/>
        </w:rPr>
        <w:t>7、服务承诺：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7.1服务合作期内，采购人因业务发展，需要对设备进行更新或升级的，中标人应无条件配合。</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7.2中标人需提供设备运行维护人员，应在两个工作日之内解决科室内设备运行的故障，确保检测业务的正常运行。如果不能在规定时间内完成的，院方可以自行联系维修，维修费用由供应商承担，期间中标人需解决标本的检测问题；如不能解决，院方可以自行外送检测，所有费用在结算技术服务费时从中扣除。</w:t>
      </w:r>
    </w:p>
    <w:p>
      <w:pPr>
        <w:pStyle w:val="2"/>
        <w:numPr>
          <w:ilvl w:val="0"/>
          <w:numId w:val="1"/>
        </w:numP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违约责任：</w:t>
      </w:r>
      <w:r>
        <w:rPr>
          <w:rFonts w:hint="eastAsia" w:ascii="仿宋" w:hAnsi="仿宋" w:eastAsia="仿宋" w:cs="仿宋"/>
          <w:color w:val="auto"/>
          <w:sz w:val="24"/>
        </w:rPr>
        <w:t>如果</w:t>
      </w:r>
      <w:r>
        <w:rPr>
          <w:rFonts w:hint="eastAsia" w:ascii="仿宋" w:hAnsi="仿宋" w:eastAsia="仿宋" w:cs="仿宋"/>
          <w:color w:val="auto"/>
          <w:sz w:val="24"/>
          <w:lang w:val="en-US" w:eastAsia="zh-CN"/>
        </w:rPr>
        <w:t>中标人</w:t>
      </w:r>
      <w:r>
        <w:rPr>
          <w:rFonts w:hint="eastAsia" w:ascii="仿宋" w:hAnsi="仿宋" w:eastAsia="仿宋" w:cs="仿宋"/>
          <w:color w:val="auto"/>
          <w:sz w:val="24"/>
        </w:rPr>
        <w:t>没有按照合同约定提供服务，</w:t>
      </w:r>
      <w:r>
        <w:rPr>
          <w:rFonts w:hint="eastAsia" w:ascii="仿宋" w:hAnsi="仿宋" w:eastAsia="仿宋" w:cs="仿宋"/>
          <w:color w:val="auto"/>
          <w:sz w:val="24"/>
          <w:lang w:val="en-US" w:eastAsia="zh-CN"/>
        </w:rPr>
        <w:t>采购人有权</w:t>
      </w:r>
      <w:r>
        <w:rPr>
          <w:rFonts w:hint="eastAsia" w:ascii="仿宋" w:hAnsi="仿宋" w:eastAsia="仿宋" w:cs="仿宋"/>
          <w:color w:val="auto"/>
          <w:sz w:val="24"/>
        </w:rPr>
        <w:t>没收全部履约保证金</w:t>
      </w:r>
      <w:r>
        <w:rPr>
          <w:rFonts w:hint="eastAsia" w:ascii="仿宋" w:hAnsi="仿宋" w:eastAsia="仿宋" w:cs="仿宋"/>
          <w:color w:val="auto"/>
          <w:sz w:val="24"/>
          <w:lang w:val="en-US" w:eastAsia="zh-CN"/>
        </w:rPr>
        <w:t>并</w:t>
      </w:r>
      <w:r>
        <w:rPr>
          <w:rFonts w:hint="eastAsia" w:ascii="仿宋" w:hAnsi="仿宋" w:eastAsia="仿宋" w:cs="仿宋"/>
          <w:color w:val="auto"/>
          <w:sz w:val="24"/>
        </w:rPr>
        <w:t>追究法律责任，同时</w:t>
      </w:r>
      <w:r>
        <w:rPr>
          <w:rFonts w:hint="eastAsia" w:ascii="仿宋" w:hAnsi="仿宋" w:eastAsia="仿宋" w:cs="仿宋"/>
          <w:color w:val="auto"/>
          <w:sz w:val="24"/>
          <w:lang w:val="en-US" w:eastAsia="zh-CN"/>
        </w:rPr>
        <w:t>采购人</w:t>
      </w:r>
      <w:r>
        <w:rPr>
          <w:rFonts w:hint="eastAsia" w:ascii="仿宋" w:hAnsi="仿宋" w:eastAsia="仿宋" w:cs="仿宋"/>
          <w:color w:val="auto"/>
          <w:sz w:val="24"/>
        </w:rPr>
        <w:t>有权解除合同</w:t>
      </w:r>
      <w:r>
        <w:rPr>
          <w:rFonts w:hint="eastAsia" w:ascii="仿宋" w:hAnsi="仿宋" w:eastAsia="仿宋" w:cs="仿宋"/>
          <w:color w:val="auto"/>
          <w:sz w:val="24"/>
          <w:lang w:eastAsia="zh-CN"/>
        </w:rPr>
        <w:t>。</w:t>
      </w:r>
    </w:p>
    <w:p>
      <w:pPr>
        <w:pStyle w:val="2"/>
        <w:numPr>
          <w:ilvl w:val="0"/>
          <w:numId w:val="0"/>
        </w:numPr>
        <w:rPr>
          <w:rFonts w:ascii="仿宋" w:hAnsi="仿宋" w:eastAsia="仿宋" w:cs="仿宋"/>
          <w:color w:val="auto"/>
          <w:sz w:val="24"/>
        </w:rPr>
      </w:pPr>
      <w:r>
        <w:rPr>
          <w:rFonts w:hint="eastAsia" w:ascii="仿宋" w:hAnsi="仿宋" w:eastAsia="仿宋" w:cs="仿宋"/>
          <w:color w:val="auto"/>
          <w:sz w:val="24"/>
          <w:lang w:val="en-US" w:eastAsia="zh-CN"/>
        </w:rPr>
        <w:t>9、</w:t>
      </w:r>
      <w:r>
        <w:rPr>
          <w:rFonts w:hint="eastAsia" w:ascii="仿宋" w:hAnsi="仿宋" w:eastAsia="仿宋" w:cs="仿宋"/>
          <w:color w:val="auto"/>
          <w:sz w:val="24"/>
        </w:rPr>
        <w:t>合同期满后，因再次招标至中标人改变，中标人必须协助采购人做好衔接工作。</w:t>
      </w:r>
    </w:p>
    <w:p>
      <w:pPr>
        <w:pStyle w:val="3"/>
        <w:numPr>
          <w:ilvl w:val="0"/>
          <w:numId w:val="0"/>
        </w:numPr>
        <w:rPr>
          <w:rFonts w:hint="default"/>
          <w:color w:val="auto"/>
          <w:lang w:val="en-US" w:eastAsia="zh-CN"/>
        </w:rPr>
      </w:pPr>
    </w:p>
    <w:p>
      <w:pPr>
        <w:spacing w:line="360" w:lineRule="auto"/>
        <w:rPr>
          <w:color w:val="auto"/>
        </w:rPr>
      </w:pPr>
      <w:r>
        <w:rPr>
          <w:rFonts w:hint="eastAsia" w:ascii="仿宋" w:hAnsi="仿宋" w:eastAsia="仿宋" w:cs="仿宋"/>
          <w:b/>
          <w:bCs/>
          <w:color w:val="auto"/>
          <w:spacing w:val="-3"/>
          <w:sz w:val="24"/>
          <w:lang w:val="en-US" w:eastAsia="zh-CN"/>
        </w:rPr>
        <w:t>七</w:t>
      </w:r>
      <w:r>
        <w:rPr>
          <w:rFonts w:hint="eastAsia" w:ascii="仿宋" w:hAnsi="仿宋" w:eastAsia="仿宋" w:cs="仿宋"/>
          <w:b/>
          <w:bCs/>
          <w:color w:val="auto"/>
          <w:spacing w:val="-3"/>
          <w:sz w:val="24"/>
        </w:rPr>
        <w:t>、报价</w:t>
      </w:r>
    </w:p>
    <w:p>
      <w:pPr>
        <w:spacing w:line="360" w:lineRule="auto"/>
        <w:rPr>
          <w:rFonts w:hint="eastAsia" w:ascii="仿宋" w:hAnsi="仿宋" w:eastAsia="仿宋" w:cs="仿宋"/>
          <w:color w:val="auto"/>
          <w:sz w:val="24"/>
        </w:rPr>
      </w:pPr>
      <w:r>
        <w:rPr>
          <w:rFonts w:hint="eastAsia" w:ascii="仿宋" w:hAnsi="仿宋" w:eastAsia="仿宋" w:cs="仿宋"/>
          <w:b/>
          <w:bCs/>
          <w:color w:val="auto"/>
          <w:sz w:val="24"/>
        </w:rPr>
        <w:t>1、投标报价：</w:t>
      </w:r>
      <w:r>
        <w:rPr>
          <w:rFonts w:hint="eastAsia" w:ascii="仿宋" w:hAnsi="仿宋" w:eastAsia="仿宋" w:cs="仿宋"/>
          <w:color w:val="auto"/>
          <w:sz w:val="24"/>
        </w:rPr>
        <w:t>投标报价为技术服务费的折扣，即技术服务费占</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业务总收入的百分比</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医院按相应折扣支付费用（包括实验室整体规划设计、装修、设备、人员等费用）</w:t>
      </w:r>
      <w:r>
        <w:rPr>
          <w:rFonts w:hint="eastAsia" w:ascii="仿宋" w:hAnsi="仿宋" w:eastAsia="仿宋" w:cs="仿宋"/>
          <w:color w:val="auto"/>
          <w:sz w:val="24"/>
        </w:rPr>
        <w:t>。</w:t>
      </w:r>
    </w:p>
    <w:p>
      <w:pPr>
        <w:spacing w:line="360" w:lineRule="auto"/>
        <w:rPr>
          <w:rFonts w:ascii="仿宋" w:hAnsi="仿宋" w:eastAsia="仿宋" w:cs="仿宋"/>
          <w:b/>
          <w:bCs/>
          <w:color w:val="auto"/>
          <w:sz w:val="24"/>
        </w:rPr>
      </w:pPr>
      <w:r>
        <w:rPr>
          <w:rFonts w:hint="eastAsia" w:ascii="仿宋" w:hAnsi="仿宋" w:eastAsia="仿宋" w:cs="仿宋"/>
          <w:b/>
          <w:bCs/>
          <w:color w:val="auto"/>
          <w:sz w:val="24"/>
          <w:lang w:val="en-US" w:eastAsia="zh-CN"/>
        </w:rPr>
        <w:t>2</w:t>
      </w:r>
      <w:r>
        <w:rPr>
          <w:rFonts w:hint="eastAsia" w:ascii="仿宋" w:hAnsi="仿宋" w:eastAsia="仿宋" w:cs="仿宋"/>
          <w:b/>
          <w:bCs/>
          <w:color w:val="auto"/>
          <w:sz w:val="24"/>
        </w:rPr>
        <w:t xml:space="preserve">、服务费的结算：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采购人“</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 xml:space="preserve">”平台开展的项目，统一由采购人依据浙江省物价局的医疗服务收费标准进行规范收费，确定标准收入。 </w:t>
      </w:r>
    </w:p>
    <w:p>
      <w:pPr>
        <w:spacing w:line="360" w:lineRule="auto"/>
        <w:rPr>
          <w:rFonts w:ascii="仿宋" w:hAnsi="仿宋" w:eastAsia="仿宋" w:cs="仿宋"/>
          <w:color w:val="auto"/>
          <w:sz w:val="24"/>
        </w:rPr>
      </w:pPr>
      <w:r>
        <w:rPr>
          <w:rFonts w:hint="eastAsia" w:ascii="仿宋" w:hAnsi="仿宋" w:eastAsia="仿宋" w:cs="仿宋"/>
          <w:color w:val="auto"/>
          <w:sz w:val="24"/>
        </w:rPr>
        <w:t xml:space="preserve">采购人按以下公式向中标人支付服务费，中标人开具相关服务费发票： </w:t>
      </w:r>
    </w:p>
    <w:p>
      <w:pPr>
        <w:spacing w:line="360" w:lineRule="auto"/>
        <w:rPr>
          <w:rFonts w:ascii="仿宋" w:hAnsi="仿宋" w:eastAsia="仿宋" w:cs="仿宋"/>
          <w:color w:val="auto"/>
          <w:sz w:val="24"/>
        </w:rPr>
      </w:pPr>
      <w:r>
        <w:rPr>
          <w:rFonts w:hint="eastAsia" w:ascii="仿宋" w:hAnsi="仿宋" w:eastAsia="仿宋" w:cs="仿宋"/>
          <w:color w:val="auto"/>
          <w:sz w:val="24"/>
        </w:rPr>
        <w:t>采购人应向中标人支付的服务费=标准收入*____%；</w:t>
      </w:r>
    </w:p>
    <w:p>
      <w:pPr>
        <w:spacing w:line="360" w:lineRule="auto"/>
        <w:rPr>
          <w:rFonts w:ascii="仿宋" w:hAnsi="仿宋" w:eastAsia="仿宋" w:cs="仿宋"/>
          <w:color w:val="auto"/>
          <w:sz w:val="24"/>
        </w:rPr>
      </w:pPr>
      <w:r>
        <w:rPr>
          <w:rFonts w:hint="eastAsia" w:ascii="仿宋" w:hAnsi="仿宋" w:eastAsia="仿宋" w:cs="仿宋"/>
          <w:color w:val="auto"/>
          <w:sz w:val="24"/>
        </w:rPr>
        <w:t>注：1上述标准收入指采购人依据</w:t>
      </w:r>
      <w:r>
        <w:rPr>
          <w:rFonts w:hint="eastAsia" w:ascii="仿宋" w:hAnsi="仿宋" w:eastAsia="仿宋" w:cs="仿宋"/>
          <w:color w:val="FF0000"/>
          <w:sz w:val="24"/>
          <w:lang w:val="en-US" w:eastAsia="zh-CN"/>
        </w:rPr>
        <w:t>采购人行政所在地收费</w:t>
      </w:r>
      <w:r>
        <w:rPr>
          <w:rFonts w:hint="eastAsia" w:ascii="仿宋" w:hAnsi="仿宋" w:eastAsia="仿宋" w:cs="仿宋"/>
          <w:color w:val="FF0000"/>
          <w:sz w:val="24"/>
        </w:rPr>
        <w:t>标准</w:t>
      </w:r>
      <w:r>
        <w:rPr>
          <w:rFonts w:hint="eastAsia" w:ascii="仿宋" w:hAnsi="仿宋" w:eastAsia="仿宋" w:cs="仿宋"/>
          <w:color w:val="auto"/>
          <w:sz w:val="24"/>
        </w:rPr>
        <w:t xml:space="preserve">向患者收取的检测费；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2本合同中所涉及项目价格均按</w:t>
      </w:r>
      <w:r>
        <w:rPr>
          <w:rFonts w:hint="eastAsia" w:ascii="仿宋" w:hAnsi="仿宋" w:eastAsia="仿宋" w:cs="仿宋"/>
          <w:color w:val="FF0000"/>
          <w:sz w:val="24"/>
          <w:lang w:val="en-US" w:eastAsia="zh-CN"/>
        </w:rPr>
        <w:t>采购人行政所在地收费</w:t>
      </w:r>
      <w:r>
        <w:rPr>
          <w:rFonts w:hint="eastAsia" w:ascii="仿宋" w:hAnsi="仿宋" w:eastAsia="仿宋" w:cs="仿宋"/>
          <w:color w:val="FF0000"/>
          <w:sz w:val="24"/>
        </w:rPr>
        <w:t>标准</w:t>
      </w:r>
      <w:r>
        <w:rPr>
          <w:rFonts w:hint="eastAsia" w:ascii="仿宋" w:hAnsi="仿宋" w:eastAsia="仿宋" w:cs="仿宋"/>
          <w:color w:val="auto"/>
          <w:sz w:val="24"/>
        </w:rPr>
        <w:t>执行，医院自主收费项目则按医院 HIS 收费标准执行。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3人力、技术能力的投入、设备的投入、试剂耗材成本均已包含在技术服务费内。</w:t>
      </w:r>
    </w:p>
    <w:p>
      <w:pPr>
        <w:pStyle w:val="2"/>
        <w:ind w:firstLine="482" w:firstLineChars="200"/>
        <w:rPr>
          <w:rFonts w:hint="eastAsia" w:eastAsia="仿宋"/>
          <w:b/>
          <w:bCs/>
          <w:color w:val="FF0000"/>
          <w:lang w:val="en-US" w:eastAsia="zh-CN"/>
        </w:rPr>
      </w:pPr>
      <w:r>
        <w:rPr>
          <w:rFonts w:hint="eastAsia" w:ascii="仿宋" w:hAnsi="仿宋" w:eastAsia="仿宋" w:cs="仿宋"/>
          <w:b/>
          <w:bCs/>
          <w:color w:val="auto"/>
          <w:sz w:val="24"/>
          <w:lang w:val="en-US" w:eastAsia="zh-CN"/>
        </w:rPr>
        <w:t>4</w:t>
      </w:r>
      <w:r>
        <w:rPr>
          <w:rFonts w:hint="eastAsia"/>
          <w:lang w:val="en-US" w:eastAsia="zh-CN"/>
        </w:rPr>
        <w:t>因考虑到场地等实际原因，相关实验室场地建设完成约定为6个月。在二代测序等项目实现本地化检测前，其他项目的服务费用结算标准如下：1）未本地化项目：医院按中标折扣价下调15个百分点进行支付。例如，若中标折扣为 75%，则实际支付折扣为 60%。同时，下调的15% 部分需按 “真实中标折扣 ÷75%” 的系数进行折算。​2）已本地化项目：直接按照中标价格进行结算。</w:t>
      </w:r>
    </w:p>
    <w:p>
      <w:pPr>
        <w:spacing w:line="360" w:lineRule="auto"/>
        <w:rPr>
          <w:rFonts w:ascii="仿宋" w:hAnsi="仿宋" w:eastAsia="仿宋" w:cs="仿宋"/>
          <w:b/>
          <w:color w:val="auto"/>
          <w:spacing w:val="1"/>
          <w:sz w:val="24"/>
        </w:rPr>
      </w:pPr>
      <w:r>
        <w:rPr>
          <w:rFonts w:hint="eastAsia" w:ascii="仿宋" w:hAnsi="仿宋" w:eastAsia="仿宋" w:cs="仿宋"/>
          <w:b/>
          <w:color w:val="auto"/>
          <w:spacing w:val="1"/>
          <w:sz w:val="24"/>
        </w:rPr>
        <w:t>附件1 供应商需投入的设备清单</w:t>
      </w:r>
    </w:p>
    <w:tbl>
      <w:tblPr>
        <w:tblStyle w:val="6"/>
        <w:tblW w:w="0" w:type="auto"/>
        <w:tblInd w:w="104"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060"/>
        <w:gridCol w:w="4808"/>
        <w:gridCol w:w="25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序号</w:t>
            </w:r>
          </w:p>
        </w:tc>
        <w:tc>
          <w:tcPr>
            <w:tcW w:w="4809"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255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高通量测序仪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2</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开展高通量测序项目检测所需辅助设备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若干(高通量测序平台辅助设备清单）</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3</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液相色谱质谱联用仪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4</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开展质谱项目所需辅助设备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若干(串联质谱平台辅助设备清单）</w:t>
            </w:r>
          </w:p>
        </w:tc>
      </w:tr>
    </w:tbl>
    <w:p>
      <w:pPr>
        <w:textAlignment w:val="center"/>
        <w:rPr>
          <w:rFonts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rPr>
        <w:t>1、高通量测序平台辅助设备清单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729"/>
        <w:gridCol w:w="40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5000" w:type="pct"/>
            <w:gridSpan w:val="3"/>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高通量测序平台辅助设备清单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1602"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区域</w:t>
            </w:r>
          </w:p>
        </w:tc>
        <w:tc>
          <w:tcPr>
            <w:tcW w:w="2377"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1019"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一区</w:t>
            </w:r>
          </w:p>
          <w:p>
            <w:pPr>
              <w:jc w:val="center"/>
              <w:textAlignment w:val="center"/>
              <w:rPr>
                <w:rFonts w:ascii="仿宋" w:hAnsi="仿宋" w:eastAsia="仿宋" w:cs="仿宋"/>
                <w:color w:val="auto"/>
              </w:rPr>
            </w:pPr>
            <w:r>
              <w:rPr>
                <w:rFonts w:hint="eastAsia" w:ascii="仿宋" w:hAnsi="仿宋" w:eastAsia="仿宋" w:cs="仿宋"/>
                <w:color w:val="auto"/>
              </w:rPr>
              <w:t>（试剂准备区）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超净工作台</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二区</w:t>
            </w:r>
          </w:p>
          <w:p>
            <w:pPr>
              <w:jc w:val="center"/>
              <w:textAlignment w:val="center"/>
              <w:rPr>
                <w:rFonts w:ascii="仿宋" w:hAnsi="仿宋" w:eastAsia="仿宋" w:cs="仿宋"/>
                <w:color w:val="auto"/>
              </w:rPr>
            </w:pPr>
            <w:r>
              <w:rPr>
                <w:rFonts w:hint="eastAsia" w:ascii="仿宋" w:hAnsi="仿宋" w:eastAsia="仿宋" w:cs="仿宋"/>
                <w:color w:val="auto"/>
              </w:rPr>
              <w:t>（样本制备区）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2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三区</w:t>
            </w:r>
          </w:p>
          <w:p>
            <w:pPr>
              <w:jc w:val="center"/>
              <w:textAlignment w:val="center"/>
              <w:rPr>
                <w:rFonts w:ascii="仿宋" w:hAnsi="仿宋" w:eastAsia="仿宋" w:cs="仿宋"/>
                <w:color w:val="auto"/>
              </w:rPr>
            </w:pPr>
            <w:r>
              <w:rPr>
                <w:rFonts w:hint="eastAsia" w:ascii="仿宋" w:hAnsi="仿宋" w:eastAsia="仿宋" w:cs="仿宋"/>
                <w:color w:val="auto"/>
              </w:rPr>
              <w:t>（组织样本制备区）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恒温混匀仪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四区</w:t>
            </w:r>
          </w:p>
          <w:p>
            <w:pPr>
              <w:jc w:val="center"/>
              <w:textAlignment w:val="center"/>
              <w:rPr>
                <w:rFonts w:ascii="仿宋" w:hAnsi="仿宋" w:eastAsia="仿宋" w:cs="仿宋"/>
                <w:color w:val="auto"/>
              </w:rPr>
            </w:pPr>
            <w:r>
              <w:rPr>
                <w:rFonts w:hint="eastAsia" w:ascii="仿宋" w:hAnsi="仿宋" w:eastAsia="仿宋" w:cs="仿宋"/>
                <w:color w:val="auto"/>
              </w:rPr>
              <w:t>（文库制备一区）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五区</w:t>
            </w:r>
          </w:p>
          <w:p>
            <w:pPr>
              <w:jc w:val="center"/>
              <w:textAlignment w:val="center"/>
              <w:rPr>
                <w:rFonts w:ascii="仿宋" w:hAnsi="仿宋" w:eastAsia="仿宋" w:cs="仿宋"/>
                <w:color w:val="auto"/>
              </w:rPr>
            </w:pPr>
            <w:r>
              <w:rPr>
                <w:rFonts w:hint="eastAsia" w:ascii="仿宋" w:hAnsi="仿宋" w:eastAsia="仿宋" w:cs="仿宋"/>
                <w:color w:val="auto"/>
              </w:rPr>
              <w:t>（文库扩增二区）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微孔板迷你离心机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5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荧光定量PCR仪1</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六区</w:t>
            </w:r>
          </w:p>
          <w:p>
            <w:pPr>
              <w:jc w:val="center"/>
              <w:textAlignment w:val="center"/>
              <w:rPr>
                <w:rFonts w:ascii="仿宋" w:hAnsi="仿宋" w:eastAsia="仿宋" w:cs="仿宋"/>
                <w:color w:val="auto"/>
              </w:rPr>
            </w:pPr>
            <w:r>
              <w:rPr>
                <w:rFonts w:hint="eastAsia" w:ascii="仿宋" w:hAnsi="仿宋" w:eastAsia="仿宋" w:cs="仿宋"/>
                <w:color w:val="auto"/>
              </w:rPr>
              <w:t>（测序区）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UPS电源</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千兆网交换机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七区</w:t>
            </w:r>
          </w:p>
          <w:p>
            <w:pPr>
              <w:jc w:val="center"/>
              <w:textAlignment w:val="center"/>
              <w:rPr>
                <w:rFonts w:ascii="仿宋" w:hAnsi="仿宋" w:eastAsia="仿宋" w:cs="仿宋"/>
                <w:color w:val="auto"/>
              </w:rPr>
            </w:pPr>
            <w:r>
              <w:rPr>
                <w:rFonts w:hint="eastAsia" w:ascii="仿宋" w:hAnsi="仿宋" w:eastAsia="仿宋" w:cs="仿宋"/>
                <w:color w:val="auto"/>
              </w:rPr>
              <w:t>（电泳区）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Nanodrop超微量分光光度计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QubitFluorometer 核酸定量计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串联质谱平台辅助设备清单</w:t>
      </w:r>
    </w:p>
    <w:p>
      <w:pPr>
        <w:rPr>
          <w:rFonts w:ascii="仿宋" w:hAnsi="仿宋" w:eastAsia="仿宋" w:cs="仿宋"/>
          <w:color w:val="auto"/>
        </w:rPr>
      </w:pPr>
    </w:p>
    <w:tbl>
      <w:tblPr>
        <w:tblStyle w:val="6"/>
        <w:tblW w:w="5000" w:type="pct"/>
        <w:tblInd w:w="0" w:type="dxa"/>
        <w:tblLayout w:type="autofit"/>
        <w:tblCellMar>
          <w:top w:w="0" w:type="dxa"/>
          <w:left w:w="108" w:type="dxa"/>
          <w:bottom w:w="0" w:type="dxa"/>
          <w:right w:w="108" w:type="dxa"/>
        </w:tblCellMar>
      </w:tblPr>
      <w:tblGrid>
        <w:gridCol w:w="652"/>
        <w:gridCol w:w="1623"/>
        <w:gridCol w:w="4285"/>
        <w:gridCol w:w="977"/>
        <w:gridCol w:w="985"/>
      </w:tblGrid>
      <w:tr>
        <w:tblPrEx>
          <w:tblCellMar>
            <w:top w:w="0" w:type="dxa"/>
            <w:left w:w="108" w:type="dxa"/>
            <w:bottom w:w="0" w:type="dxa"/>
            <w:right w:w="108" w:type="dxa"/>
          </w:tblCellMar>
        </w:tblPrEx>
        <w:trPr>
          <w:trHeight w:val="288"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串联质谱平台辅助设备清单</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952"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名称</w:t>
            </w:r>
          </w:p>
        </w:tc>
        <w:tc>
          <w:tcPr>
            <w:tcW w:w="57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数量</w:t>
            </w:r>
          </w:p>
        </w:tc>
        <w:tc>
          <w:tcPr>
            <w:tcW w:w="576" w:type="pct"/>
            <w:tcBorders>
              <w:top w:val="single" w:color="000000" w:sz="4" w:space="0"/>
              <w:left w:val="single" w:color="000000" w:sz="4" w:space="0"/>
              <w:bottom w:val="single" w:color="auto" w:sz="4" w:space="0"/>
              <w:right w:val="single" w:color="000000"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单位</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95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辅助设备</w:t>
            </w: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氮气发生器</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Style w:val="9"/>
                <w:rFonts w:ascii="仿宋" w:hAnsi="仿宋" w:eastAsia="仿宋" w:cs="仿宋"/>
                <w:color w:val="auto"/>
                <w:sz w:val="21"/>
                <w:szCs w:val="21"/>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UPS(不间断电源)</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万向通风罩</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952"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1.5通风橱或二级生物安全柜</w:t>
            </w:r>
          </w:p>
        </w:tc>
        <w:tc>
          <w:tcPr>
            <w:tcW w:w="57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冷冻离心机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单道移液枪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超声波清洗机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血库专用离心机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套</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调温试热封膜仪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96孔板涡旋振荡器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台式电脑</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打印机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bl>
    <w:p>
      <w:pPr>
        <w:pStyle w:val="3"/>
        <w:ind w:left="0" w:leftChars="0" w:firstLine="0" w:firstLineChars="0"/>
      </w:pPr>
    </w:p>
    <w:p>
      <w:pPr>
        <w:textAlignment w:val="center"/>
        <w:rPr>
          <w:rFonts w:hint="eastAsia" w:ascii="仿宋" w:hAnsi="仿宋" w:eastAsia="仿宋" w:cs="仿宋"/>
          <w:b/>
          <w:bCs/>
          <w:color w:val="auto"/>
        </w:rPr>
      </w:pPr>
      <w:r>
        <w:rPr>
          <w:rFonts w:hint="eastAsia" w:ascii="仿宋" w:hAnsi="仿宋" w:eastAsia="仿宋" w:cs="仿宋"/>
          <w:b/>
          <w:bCs/>
          <w:color w:val="auto"/>
        </w:rPr>
        <w:t>附件2 主要设备技术要求</w:t>
      </w:r>
    </w:p>
    <w:p>
      <w:pPr>
        <w:pStyle w:val="2"/>
        <w:rPr>
          <w:rFonts w:hint="default" w:eastAsia="仿宋"/>
          <w:lang w:val="en-US" w:eastAsia="zh-CN"/>
        </w:rPr>
      </w:pPr>
      <w:r>
        <w:rPr>
          <w:rFonts w:hint="eastAsia" w:ascii="仿宋" w:hAnsi="仿宋" w:eastAsia="仿宋" w:cs="仿宋"/>
          <w:b/>
          <w:bCs/>
          <w:color w:val="auto"/>
          <w:lang w:val="en-US" w:eastAsia="zh-CN"/>
        </w:rPr>
        <w:t>1.</w:t>
      </w:r>
      <w:r>
        <w:rPr>
          <w:rFonts w:hint="eastAsia" w:ascii="仿宋" w:hAnsi="仿宋" w:eastAsia="仿宋" w:cs="仿宋"/>
          <w:b/>
          <w:color w:val="auto"/>
          <w:spacing w:val="-3"/>
          <w:sz w:val="24"/>
        </w:rPr>
        <w:t>高通量测序技术要求</w:t>
      </w:r>
    </w:p>
    <w:tbl>
      <w:tblPr>
        <w:tblStyle w:val="6"/>
        <w:tblW w:w="0" w:type="auto"/>
        <w:tblInd w:w="-91" w:type="dxa"/>
        <w:tblLayout w:type="autofit"/>
        <w:tblCellMar>
          <w:top w:w="15" w:type="dxa"/>
          <w:left w:w="15" w:type="dxa"/>
          <w:bottom w:w="15" w:type="dxa"/>
          <w:right w:w="15" w:type="dxa"/>
        </w:tblCellMar>
      </w:tblPr>
      <w:tblGrid>
        <w:gridCol w:w="387"/>
        <w:gridCol w:w="8040"/>
      </w:tblGrid>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可开展全外显子测序、宏基因组测序等科研应用、肺癌个体化诊疗基因检测、未知病原体微生物基因检测等临床应用。</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在</w:t>
            </w:r>
            <w:r>
              <w:rPr>
                <w:rStyle w:val="10"/>
                <w:rFonts w:hint="eastAsia" w:ascii="仿宋" w:hAnsi="仿宋" w:eastAsia="仿宋" w:cs="仿宋"/>
                <w:color w:val="auto"/>
              </w:rPr>
              <w:t>2×250 bp</w:t>
            </w:r>
            <w:r>
              <w:rPr>
                <w:rStyle w:val="11"/>
                <w:rFonts w:hint="default" w:ascii="仿宋" w:hAnsi="仿宋" w:eastAsia="仿宋" w:cs="仿宋"/>
                <w:color w:val="auto"/>
                <w:sz w:val="21"/>
                <w:szCs w:val="21"/>
              </w:rPr>
              <w:t>时，＞</w:t>
            </w:r>
            <w:r>
              <w:rPr>
                <w:rStyle w:val="10"/>
                <w:rFonts w:hint="eastAsia" w:ascii="仿宋" w:hAnsi="仿宋" w:eastAsia="仿宋" w:cs="仿宋"/>
                <w:color w:val="auto"/>
              </w:rPr>
              <w:t>75%</w:t>
            </w:r>
            <w:r>
              <w:rPr>
                <w:rStyle w:val="11"/>
                <w:rFonts w:hint="default" w:ascii="仿宋" w:hAnsi="仿宋" w:eastAsia="仿宋" w:cs="仿宋"/>
                <w:color w:val="auto"/>
                <w:sz w:val="21"/>
                <w:szCs w:val="21"/>
              </w:rPr>
              <w:t>的碱基质量分值高于</w:t>
            </w:r>
            <w:r>
              <w:rPr>
                <w:rStyle w:val="10"/>
                <w:rFonts w:hint="eastAsia" w:ascii="仿宋" w:hAnsi="仿宋" w:eastAsia="仿宋" w:cs="仿宋"/>
                <w:color w:val="auto"/>
              </w:rPr>
              <w:t>Q30。</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可连续读取</w:t>
            </w:r>
            <w:r>
              <w:rPr>
                <w:rStyle w:val="10"/>
                <w:rFonts w:hint="eastAsia" w:ascii="仿宋" w:hAnsi="仿宋" w:eastAsia="仿宋" w:cs="仿宋"/>
                <w:color w:val="auto"/>
              </w:rPr>
              <w:t>12</w:t>
            </w:r>
            <w:r>
              <w:rPr>
                <w:rStyle w:val="11"/>
                <w:rFonts w:hint="default" w:ascii="仿宋" w:hAnsi="仿宋" w:eastAsia="仿宋" w:cs="仿宋"/>
                <w:color w:val="auto"/>
                <w:sz w:val="21"/>
                <w:szCs w:val="21"/>
              </w:rPr>
              <w:t>个以上（如</w:t>
            </w:r>
            <w:r>
              <w:rPr>
                <w:rStyle w:val="10"/>
                <w:rFonts w:hint="eastAsia" w:ascii="仿宋" w:hAnsi="仿宋" w:eastAsia="仿宋" w:cs="仿宋"/>
                <w:color w:val="auto"/>
              </w:rPr>
              <w:t>AAAAAAAAA</w:t>
            </w:r>
            <w:r>
              <w:rPr>
                <w:rStyle w:val="11"/>
                <w:rFonts w:hint="default" w:ascii="仿宋" w:hAnsi="仿宋" w:eastAsia="仿宋" w:cs="仿宋"/>
                <w:color w:val="auto"/>
                <w:sz w:val="21"/>
                <w:szCs w:val="21"/>
              </w:rPr>
              <w:t>）单个重复碱基序列信息。</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2"/>
                <w:rFonts w:hint="eastAsia" w:ascii="仿宋" w:hAnsi="仿宋" w:eastAsia="仿宋" w:cs="仿宋"/>
                <w:color w:val="auto"/>
                <w:sz w:val="21"/>
                <w:szCs w:val="21"/>
              </w:rPr>
              <w:t>运行时间：从文库加载到测序完成最快周期可达</w:t>
            </w:r>
            <w:r>
              <w:rPr>
                <w:rStyle w:val="10"/>
                <w:rFonts w:hint="eastAsia" w:ascii="仿宋" w:hAnsi="仿宋" w:eastAsia="仿宋" w:cs="仿宋"/>
                <w:color w:val="auto"/>
              </w:rPr>
              <w:t>14</w:t>
            </w:r>
            <w:r>
              <w:rPr>
                <w:rStyle w:val="11"/>
                <w:rFonts w:hint="default" w:ascii="仿宋" w:hAnsi="仿宋" w:eastAsia="仿宋" w:cs="仿宋"/>
                <w:color w:val="auto"/>
                <w:sz w:val="21"/>
                <w:szCs w:val="21"/>
              </w:rPr>
              <w:t>小时内。</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准确率：</w:t>
            </w:r>
            <w:r>
              <w:rPr>
                <w:rStyle w:val="10"/>
                <w:rFonts w:hint="eastAsia" w:ascii="仿宋" w:hAnsi="仿宋" w:eastAsia="仿宋" w:cs="仿宋"/>
                <w:color w:val="auto"/>
              </w:rPr>
              <w:t>PE 100</w:t>
            </w:r>
            <w:r>
              <w:rPr>
                <w:rStyle w:val="11"/>
                <w:rFonts w:hint="default" w:ascii="仿宋" w:hAnsi="仿宋" w:eastAsia="仿宋" w:cs="仿宋"/>
                <w:color w:val="auto"/>
                <w:sz w:val="21"/>
                <w:szCs w:val="21"/>
              </w:rPr>
              <w:t>模式下</w:t>
            </w:r>
            <w:r>
              <w:rPr>
                <w:rStyle w:val="10"/>
                <w:rFonts w:hint="eastAsia" w:ascii="仿宋" w:hAnsi="仿宋" w:eastAsia="仿宋" w:cs="仿宋"/>
                <w:color w:val="auto"/>
              </w:rPr>
              <w:t>,</w:t>
            </w:r>
            <w:r>
              <w:rPr>
                <w:rStyle w:val="11"/>
                <w:rFonts w:hint="default" w:ascii="仿宋" w:hAnsi="仿宋" w:eastAsia="仿宋" w:cs="仿宋"/>
                <w:color w:val="auto"/>
                <w:sz w:val="21"/>
                <w:szCs w:val="21"/>
              </w:rPr>
              <w:t>＞</w:t>
            </w:r>
            <w:r>
              <w:rPr>
                <w:rStyle w:val="10"/>
                <w:rFonts w:hint="eastAsia" w:ascii="仿宋" w:hAnsi="仿宋" w:eastAsia="仿宋" w:cs="仿宋"/>
                <w:color w:val="auto"/>
              </w:rPr>
              <w:t>80%</w:t>
            </w:r>
            <w:r>
              <w:rPr>
                <w:rStyle w:val="11"/>
                <w:rFonts w:hint="default" w:ascii="仿宋" w:hAnsi="仿宋" w:eastAsia="仿宋" w:cs="仿宋"/>
                <w:color w:val="auto"/>
                <w:sz w:val="21"/>
                <w:szCs w:val="21"/>
              </w:rPr>
              <w:t>数据高于</w:t>
            </w:r>
            <w:r>
              <w:rPr>
                <w:rStyle w:val="10"/>
                <w:rFonts w:hint="eastAsia" w:ascii="仿宋" w:hAnsi="仿宋" w:eastAsia="仿宋" w:cs="仿宋"/>
                <w:color w:val="auto"/>
              </w:rPr>
              <w:t>Q30</w:t>
            </w:r>
            <w:r>
              <w:rPr>
                <w:rStyle w:val="11"/>
                <w:rFonts w:hint="default" w:ascii="仿宋" w:hAnsi="仿宋" w:eastAsia="仿宋" w:cs="仿宋"/>
                <w:color w:val="auto"/>
                <w:sz w:val="21"/>
                <w:szCs w:val="21"/>
              </w:rPr>
              <w:t>。</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u w:val="single"/>
              </w:rPr>
            </w:pPr>
            <w:r>
              <w:rPr>
                <w:rFonts w:hint="eastAsia" w:ascii="仿宋" w:hAnsi="仿宋" w:eastAsia="仿宋" w:cs="仿宋"/>
                <w:color w:val="auto"/>
              </w:rPr>
              <w:t>6</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信息分析：测序的同时能进行初步数据分析，并产生有质量打分的碱基序列。</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★具有有效医疗器械注册证。</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具备支持单端和双端测序的能力。</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可自动扫描试剂、芯片、样本。</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、串联质谱技术要求</w:t>
      </w:r>
    </w:p>
    <w:tbl>
      <w:tblPr>
        <w:tblStyle w:val="6"/>
        <w:tblW w:w="5000" w:type="pct"/>
        <w:tblInd w:w="0" w:type="dxa"/>
        <w:tblLayout w:type="autofit"/>
        <w:tblCellMar>
          <w:top w:w="0" w:type="dxa"/>
          <w:left w:w="108" w:type="dxa"/>
          <w:bottom w:w="0" w:type="dxa"/>
          <w:right w:w="108" w:type="dxa"/>
        </w:tblCellMar>
      </w:tblPr>
      <w:tblGrid>
        <w:gridCol w:w="590"/>
        <w:gridCol w:w="7932"/>
      </w:tblGrid>
      <w:tr>
        <w:tblPrEx>
          <w:tblCellMar>
            <w:top w:w="0" w:type="dxa"/>
            <w:left w:w="108" w:type="dxa"/>
            <w:bottom w:w="0" w:type="dxa"/>
            <w:right w:w="108" w:type="dxa"/>
          </w:tblCellMar>
        </w:tblPrEx>
        <w:trPr>
          <w:trHeight w:val="817" w:hRule="atLeast"/>
        </w:trPr>
        <w:tc>
          <w:tcPr>
            <w:tcW w:w="346"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4653" w:type="pct"/>
            <w:tcBorders>
              <w:top w:val="single" w:color="000000" w:sz="8" w:space="0"/>
              <w:left w:val="nil"/>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设备功能要求和用途：具有三重四极杆的定量定性分析功能，用于新生儿筛查、全谱维生素、固醇类激素、氨基酸、脂肪酸、肉碱及外源性物质如治疗药物/毒性药物等。</w:t>
            </w:r>
          </w:p>
        </w:tc>
      </w:tr>
      <w:tr>
        <w:tblPrEx>
          <w:tblCellMar>
            <w:top w:w="0" w:type="dxa"/>
            <w:left w:w="108" w:type="dxa"/>
            <w:bottom w:w="0" w:type="dxa"/>
            <w:right w:w="108" w:type="dxa"/>
          </w:tblCellMar>
        </w:tblPrEx>
        <w:trPr>
          <w:trHeight w:val="970"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▲离子源：要求为独立的电喷雾离子源(ESI)以及大气压化学电离源(APCI)，APCI为非复合源，并可在不破坏真空的条件下方便快速切换离子源。</w:t>
            </w:r>
          </w:p>
        </w:tc>
      </w:tr>
      <w:tr>
        <w:tblPrEx>
          <w:tblCellMar>
            <w:top w:w="0" w:type="dxa"/>
            <w:left w:w="108" w:type="dxa"/>
            <w:bottom w:w="0" w:type="dxa"/>
            <w:right w:w="108" w:type="dxa"/>
          </w:tblCellMar>
        </w:tblPrEx>
        <w:trPr>
          <w:trHeight w:val="95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在不影响真空度的情况下，可以实现独立的ESI和独立的APCI离子源的切换。</w:t>
            </w:r>
          </w:p>
        </w:tc>
      </w:tr>
      <w:tr>
        <w:tblPrEx>
          <w:tblCellMar>
            <w:top w:w="0" w:type="dxa"/>
            <w:left w:w="108" w:type="dxa"/>
            <w:bottom w:w="0" w:type="dxa"/>
            <w:right w:w="108" w:type="dxa"/>
          </w:tblCellMar>
        </w:tblPrEx>
        <w:trPr>
          <w:trHeight w:val="104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电喷雾离子源流速范围：在确保灵敏度不损失的前提下，实现高流速，无需分流即可达到 3mL/min，离子源接口适用于 100％有机相到 100％水相，耐用一定浓度的缓冲液。</w:t>
            </w:r>
          </w:p>
        </w:tc>
      </w:tr>
      <w:tr>
        <w:tblPrEx>
          <w:tblCellMar>
            <w:top w:w="0" w:type="dxa"/>
            <w:left w:w="108" w:type="dxa"/>
            <w:bottom w:w="0" w:type="dxa"/>
            <w:right w:w="108" w:type="dxa"/>
          </w:tblCellMar>
        </w:tblPrEx>
        <w:trPr>
          <w:trHeight w:val="1064"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大气压化学离子源流速范围：在确保灵敏度不损失的前提下，实现高流速，无需分流即可达到 3mL/min。</w:t>
            </w:r>
          </w:p>
        </w:tc>
      </w:tr>
      <w:tr>
        <w:tblPrEx>
          <w:tblCellMar>
            <w:top w:w="0" w:type="dxa"/>
            <w:left w:w="108" w:type="dxa"/>
            <w:bottom w:w="0" w:type="dxa"/>
            <w:right w:w="108" w:type="dxa"/>
          </w:tblCellMar>
        </w:tblPrEx>
        <w:trPr>
          <w:trHeight w:val="1252"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▲离子源内有两路加热雾化气，确保离子化充分，辅助加热气温度最大可至 720℃以上（投标时需提供温度设置为 720℃以上时的工作站软件界面截图），确保离子化效率和抗基质干扰能力。</w:t>
            </w:r>
          </w:p>
        </w:tc>
      </w:tr>
      <w:tr>
        <w:tblPrEx>
          <w:tblCellMar>
            <w:top w:w="0" w:type="dxa"/>
            <w:left w:w="108" w:type="dxa"/>
            <w:bottom w:w="0" w:type="dxa"/>
            <w:right w:w="108" w:type="dxa"/>
          </w:tblCellMar>
        </w:tblPrEx>
        <w:trPr>
          <w:trHeight w:val="1045"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▲离子源接口采用锥孔结构和反吹气技术，离子传输通道无毛细管类设计装置，不会堵塞，且能有效防止中性分子与不挥发缓冲盐由于真空压力梯度进入四级杆。</w:t>
            </w:r>
          </w:p>
        </w:tc>
      </w:tr>
      <w:tr>
        <w:tblPrEx>
          <w:tblCellMar>
            <w:top w:w="0" w:type="dxa"/>
            <w:left w:w="108" w:type="dxa"/>
            <w:bottom w:w="0" w:type="dxa"/>
            <w:right w:w="108" w:type="dxa"/>
          </w:tblCellMar>
        </w:tblPrEx>
        <w:trPr>
          <w:trHeight w:val="119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离子源内有负压废气排放装置，可防止气体在密闭的离子源腔体中的回流，降低离子源的记忆效应和污染，降低机械泵的负荷，延长机械泵泵油使用时间，维护试验环境，保障工作人员健康。</w:t>
            </w:r>
          </w:p>
        </w:tc>
      </w:tr>
      <w:tr>
        <w:tblPrEx>
          <w:tblCellMar>
            <w:top w:w="0" w:type="dxa"/>
            <w:left w:w="108" w:type="dxa"/>
            <w:bottom w:w="0" w:type="dxa"/>
            <w:right w:w="108" w:type="dxa"/>
          </w:tblCellMar>
        </w:tblPrEx>
        <w:trPr>
          <w:trHeight w:val="112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▲离子传输系统应具备高端 RF 离子聚焦装置，包括 QJet 离子聚焦装置或 iFunnel 离子漏斗聚焦装置或 StepWave 离子聚焦装置或者或 S-lens 聚焦装置其中的一种。</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碰撞室：弯曲碰撞池设计，弯曲角≥90°，可有效过滤中性粒子的干扰。</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▲采用高纯氮气作为雾化气和碰撞气，无需额外氩气。</w:t>
            </w:r>
          </w:p>
        </w:tc>
      </w:tr>
      <w:tr>
        <w:tblPrEx>
          <w:tblCellMar>
            <w:top w:w="0" w:type="dxa"/>
            <w:left w:w="108" w:type="dxa"/>
            <w:bottom w:w="0" w:type="dxa"/>
            <w:right w:w="108" w:type="dxa"/>
          </w:tblCellMar>
        </w:tblPrEx>
        <w:trPr>
          <w:trHeight w:val="119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分析器：四极杆采用陶瓷镀金，具有良好的热稳定性、导电性和最好的惰性；无需额外加热来维持稳定性，减少因温度变化等外来的不稳定因素而造成实验稳定性的不确定性。如为非陶瓷镀金四极杆需额外提供两套原装四极杆备用。</w:t>
            </w:r>
          </w:p>
        </w:tc>
      </w:tr>
      <w:tr>
        <w:tblPrEx>
          <w:tblCellMar>
            <w:top w:w="0" w:type="dxa"/>
            <w:left w:w="108" w:type="dxa"/>
            <w:bottom w:w="0" w:type="dxa"/>
            <w:right w:w="108" w:type="dxa"/>
          </w:tblCellMar>
        </w:tblPrEx>
        <w:trPr>
          <w:trHeight w:val="989"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检测器系统：采用偏轴高能脉冲离子计数电子倍增检测器，能够满足长期大量样品定量分析的数据可靠性和重复性；非光电倍增管设计，能同时保证正负离子模式的高灵敏度和稳定性。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质量数范围：m/z 5-2000 amu.</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线性范围：定量超过六个数量级。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MRM 最小驻留时间(dwell time)≤1ms。</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实际定量分析，一般设置驻留时间(dwell time)为 1ms，可满足一次进样＞1000 对 MRM 分析，并且保持良好的重现性和定量准确性。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灵敏度</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ESI正离子：1pg利血平，过柱进样，m/z 609＞195，信噪比S/N≥100000:1，CV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负离子：1pg 氯霉素，过柱进样，m/z 321＞152，信噪比 S/N≥50000:1，CV 小于 5%；1pg 雌二醇，过柱进样，m/z 321＞152，信噪比≥10000:1，CV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正离子：1pg 17-OH 孕酮，过柱进样，信噪比≥2000:1，CV 小于5%。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扫描功能：具有全扫描、子离子扫描、母离子扫描、中性丢失扫描、MRM扫描等。</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液相色谱仪为二元高压液相色谱系统，耐压≥9500psi。</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具有专业的定量分析软件、基本的仪器控制和数据采集处理软件、专业的定量分析软件。</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★整套系统（包括液相、质谱、软件）具有有效医疗器械注册证。</w:t>
            </w:r>
          </w:p>
        </w:tc>
      </w:tr>
    </w:tbl>
    <w:p>
      <w:pPr>
        <w:spacing w:line="360" w:lineRule="auto"/>
        <w:rPr>
          <w:rFonts w:ascii="仿宋" w:hAnsi="仿宋" w:eastAsia="仿宋" w:cs="仿宋"/>
          <w:b/>
          <w:color w:val="auto"/>
          <w:spacing w:val="-3"/>
          <w:sz w:val="24"/>
        </w:rPr>
      </w:pPr>
    </w:p>
    <w:p>
      <w:pPr>
        <w:textAlignment w:val="center"/>
        <w:rPr>
          <w:rFonts w:ascii="仿宋" w:hAnsi="仿宋" w:eastAsia="仿宋" w:cs="仿宋"/>
          <w:b/>
          <w:bCs/>
          <w:color w:val="auto"/>
        </w:rPr>
      </w:pPr>
      <w:r>
        <w:rPr>
          <w:rFonts w:hint="eastAsia" w:ascii="仿宋" w:hAnsi="仿宋" w:eastAsia="仿宋" w:cs="仿宋"/>
          <w:b/>
          <w:bCs/>
          <w:color w:val="auto"/>
        </w:rPr>
        <w:t>附件3：开展项目</w:t>
      </w:r>
    </w:p>
    <w:tbl>
      <w:tblPr>
        <w:tblStyle w:val="6"/>
        <w:tblW w:w="8309" w:type="dxa"/>
        <w:tblInd w:w="96" w:type="dxa"/>
        <w:tblLayout w:type="fixed"/>
        <w:tblCellMar>
          <w:top w:w="0" w:type="dxa"/>
          <w:left w:w="108" w:type="dxa"/>
          <w:bottom w:w="0" w:type="dxa"/>
          <w:right w:w="108" w:type="dxa"/>
        </w:tblCellMar>
      </w:tblPr>
      <w:tblGrid>
        <w:gridCol w:w="689"/>
        <w:gridCol w:w="1603"/>
        <w:gridCol w:w="6017"/>
      </w:tblGrid>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序号</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分类</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szCs w:val="21"/>
              </w:rPr>
            </w:pPr>
            <w:r>
              <w:rPr>
                <w:rFonts w:hint="eastAsia" w:ascii="仿宋" w:hAnsi="仿宋" w:eastAsia="仿宋" w:cs="仿宋"/>
                <w:b/>
                <w:bCs/>
                <w:color w:val="auto"/>
                <w:kern w:val="0"/>
                <w:szCs w:val="21"/>
              </w:rPr>
              <w:t>项目名称</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甲状腺癌基因组织检测（组织+对照血）</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（基因数≥</w:t>
            </w:r>
            <w:r>
              <w:rPr>
                <w:rFonts w:hint="eastAsia" w:ascii="仿宋" w:hAnsi="仿宋" w:eastAsia="仿宋" w:cs="仿宋"/>
                <w:color w:val="FF0000"/>
                <w:kern w:val="0"/>
                <w:szCs w:val="21"/>
              </w:rPr>
              <w:t>100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脑胶质瘤多基因组织检测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肺癌靶向用药基因组织/ctDNA检测（+化疗）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消化系统肿瘤靶向免疫基因组织/ctDNA检测(+化疗)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胚系/体系BRCA1/2基因组织检测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乳腺癌/妇瘤靶向免疫用药基因组织/ctDNA检测</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（+化疗）（+PD-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肿瘤靶向免疫化疗用药基因组织/ctDNA检测（+PD-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同源重组修复缺陷（HRD）评分检测（组织+血液）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胃肠道间质瘤(GIST）检测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泌尿系统肿瘤靶向免疫基因组织/ctDNA检测+化疗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甲状腺癌基因检测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Lynch综合征（林奇综合征）基因检测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子宫内膜癌分子分型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男性/女性肿瘤易感基因筛查（ngs）</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肝胆胰肿瘤靶向免疫用药基因组织/ctDNA检测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男性/女性高发肿瘤风险基因筛查（≥20种）</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乳腺癌预后21用药基因组织检测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无创大肠癌分子筛查（Septin9）/大肠癌粪便SDC2基因检测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结直肠癌个体化用药基因组织检测套餐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膀胱癌细胞染色体及基因异常检测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FF0000"/>
                <w:kern w:val="0"/>
                <w:szCs w:val="21"/>
              </w:rPr>
              <w:t>循环肿瘤细胞CTC外周血检测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软组织肉瘤基因组织检测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 BRAF 和 TERT 双基因突变检测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肺癌/肠癌基因变异联合超敏检测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肺癌/尿路上皮癌基因甲基化检测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家系全外显子测序（TrioWES）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全基因组测序(WGS)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线粒体遗传病整体解决方案（线粒体遗传病相关的核基因及线粒体全基因检测）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遗传病整体解决方案（WES、CNV-seq、线粒体全基因）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遗传病携带者筛查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痴呆与认知障碍疾病相关基因检测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帕金森与运动障碍相关基因检测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遗传代谢性肝病基因检测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金属代谢障碍基因检测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遗传性周围神经病基因检测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内分泌疾病基因检测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经典型先天性肾上腺皮质增生症</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先天性肾上腺皮质增生症整体解决方案</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多囊肾PKD1/2基因检测（MLPA）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脊髓小脑共济失调（SCA）动态突变</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共济失调整体解决方案（NGS+PCR）</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血友病相关基因突变检测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Beckwith-Wiedemann综合征基因检测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Silver-Russell综合征基因检测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天使综合征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Prader-Willi综合征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结节性硬化症TSC1/2基因检测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遗传性痉挛性截瘫基因检测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腓骨肌萎缩症1A型(CMT1A)MLPA检测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假肥大型肌营养不良(DMD)MLPA检测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NIID神经元核内包涵体病基因检测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亨廷顿舞蹈症检测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肯尼迪病检测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强直性肌营养不良检测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新生儿遗传病基因筛查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流产物染色体拷贝数变异检测(CNV-seq)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遗传性耳聋检测基因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男性/女性肿瘤易感全面筛查升级版（ngs）（≥20种疾病）</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儿童/成人染色体拷贝数变异检测(CNV-seq)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脊髓性肌萎缩症(SMA)检测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遗传病单基因检测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子痫前期风险评估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脆性X综合征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三高及并发症基因检测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全外显子健康体检套餐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叶酸与营养元素代谢能力基因检测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遗传病基因检测NGS Panel</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全外显子测序（WES）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体重及健康管理基因检测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烟酒、咖啡牛奶代谢基因检测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肌肤基因检测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基因重排检测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白血病NGS检测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淋巴瘤NGS检测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RNA-seq</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7</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淋巴造血组织病理+免疫组化</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初诊免疫分型CD系列检测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其他疾病流式CD检测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残留病灶CD检测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CAR-T疗效监测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骨髓染色体核型分析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分子核型分析（染色体基因芯片CMA）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检测套餐</w:t>
            </w:r>
          </w:p>
        </w:tc>
      </w:tr>
      <w:tr>
        <w:tblPrEx>
          <w:tblCellMar>
            <w:top w:w="0" w:type="dxa"/>
            <w:left w:w="108" w:type="dxa"/>
            <w:bottom w:w="0" w:type="dxa"/>
            <w:right w:w="108"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融合基因定性筛查套餐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PML-RARA融合基因定量检测套餐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BCR-ABL1罕见型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基因表达水平检测项目</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抗栓个性化用药基因检测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氯吡格雷+阿司匹林个性化用药基因检测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儿童安全用药基因检测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精神类疾病个性化用药基因检测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精神分裂症个性化用药基因检测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抑郁症个性化用药基因检测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癫痫个性化用药基因检测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焦虑个性化用药基因检测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镇静催眠个性化用药基因检测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阿尔茨海默症个性化用药基因检测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注意缺陷多动障碍个性化用药基因检测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心脑血管个性化用药指导检测（基因数≥</w:t>
            </w:r>
            <w:r>
              <w:rPr>
                <w:rFonts w:hint="eastAsia" w:ascii="仿宋" w:hAnsi="仿宋" w:eastAsia="仿宋" w:cs="仿宋"/>
                <w:color w:val="FF0000"/>
                <w:kern w:val="0"/>
                <w:szCs w:val="21"/>
              </w:rPr>
              <w:t>20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高血压个性化用药指导基因检测（基因数≥</w:t>
            </w:r>
            <w:r>
              <w:rPr>
                <w:rFonts w:hint="eastAsia" w:ascii="仿宋" w:hAnsi="仿宋" w:eastAsia="仿宋" w:cs="仿宋"/>
                <w:color w:val="FF0000"/>
                <w:kern w:val="0"/>
                <w:szCs w:val="21"/>
              </w:rPr>
              <w:t>9</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2"/>
                <w:sz w:val="22"/>
                <w:szCs w:val="22"/>
                <w:lang w:val="en-US" w:eastAsia="zh-CN" w:bidi="ar-SA"/>
              </w:rPr>
            </w:pPr>
            <w:r>
              <w:rPr>
                <w:rFonts w:hint="eastAsia" w:ascii="仿宋" w:hAnsi="仿宋" w:eastAsia="仿宋" w:cs="仿宋"/>
                <w:color w:val="auto"/>
                <w:kern w:val="0"/>
                <w:sz w:val="22"/>
                <w:szCs w:val="22"/>
                <w:lang w:val="en-US" w:eastAsia="zh-CN"/>
              </w:rPr>
              <w:t>107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中枢系统脱髓鞘抗体检测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小脑炎抗体谱检测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副肿瘤抗体检测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周围神经病检测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神经肌肉抗体检测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特发性肌炎抗体谱检测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寡克隆区带综合分析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中枢神经脱髓鞘抗体检测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神经节苷脂抗体检测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郎飞氏结抗体检测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阿尔茨海默症4项</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脂溶性维生素群（串联质谱法）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119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水</w:t>
            </w:r>
            <w:r>
              <w:rPr>
                <w:rFonts w:hint="eastAsia" w:ascii="仿宋" w:hAnsi="仿宋" w:eastAsia="仿宋" w:cs="仿宋"/>
                <w:color w:val="auto"/>
                <w:kern w:val="0"/>
                <w:szCs w:val="21"/>
              </w:rPr>
              <w:t>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1890" w:firstLineChars="900"/>
              <w:jc w:val="both"/>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辅酶Q10</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甾体激素</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氨基酸谱</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盐皮质激素相关高血压筛查（≥8项，含干扰药物筛查）</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儿茶酚胺（血、尿）</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阿法替尼（串联质谱法）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吉非替尼（串联质谱法）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维生素B族（串联质谱法）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维生素ADEK+维生素B129（串联质谱法）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抗肿瘤类药物浓度（串联质谱法）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抗精神病药物浓度（串联质谱法）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抗癫痫药物浓度（串联质谱法）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抗抑郁药物浓度（串联质谱法）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抗焦虑催眠药物浓度（串联质谱法）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抗老年痴呆药物浓度（串联质谱法）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免疫抑制剂药物浓度（串联质谱法）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抗菌类药物浓度（串联质谱法）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抗结核药物浓度（串联质谱法）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(功能医学)全套女性/男性荷尔蒙健康评估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w:t>
            </w:r>
            <w:r>
              <w:rPr>
                <w:rFonts w:hint="eastAsia" w:ascii="仿宋" w:hAnsi="仿宋" w:eastAsia="仿宋" w:cs="仿宋"/>
                <w:color w:val="auto"/>
                <w:kern w:val="0"/>
                <w:sz w:val="22"/>
                <w:szCs w:val="22"/>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(功能医学)营养及毒性元素分析（全血/尿液）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(功能医学)营养元素分析（全血）</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 xml:space="preserve"> (功能医学)尿碘的精准检测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(功能医学)心血管代谢症候群健康评估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(功能医学)压力与性激素平衡评估（男/女）</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(功能医学)骨代谢健康评估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结核分枝杆菌鉴定及利福平耐药基因检测(XpertMTB/RIF)</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病原体宏基因DNA/RNA/DNA+RNA测序（二代测序）</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乙肝病毒基因分型测定</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病毒性脑炎</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PD-L1（SP263/22C3)蛋白表达组织检测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FF0000"/>
                <w:kern w:val="0"/>
                <w:szCs w:val="21"/>
              </w:rPr>
              <w:t>远程病理</w:t>
            </w:r>
          </w:p>
        </w:tc>
      </w:tr>
    </w:tbl>
    <w:p>
      <w:pPr>
        <w:spacing w:line="360" w:lineRule="auto"/>
        <w:rPr>
          <w:rFonts w:ascii="仿宋" w:hAnsi="仿宋" w:eastAsia="仿宋" w:cs="仿宋"/>
          <w:color w:val="auto"/>
          <w:spacing w:val="-7"/>
          <w:sz w:val="24"/>
        </w:rPr>
      </w:pPr>
    </w:p>
    <w:p>
      <w:pPr>
        <w:spacing w:line="360" w:lineRule="auto"/>
        <w:rPr>
          <w:rFonts w:ascii="仿宋" w:hAnsi="仿宋" w:eastAsia="仿宋" w:cs="仿宋"/>
          <w:b/>
          <w:color w:val="auto"/>
          <w:spacing w:val="1"/>
          <w:sz w:val="36"/>
          <w:szCs w:val="36"/>
        </w:rPr>
      </w:pPr>
      <w:r>
        <w:rPr>
          <w:rFonts w:hint="eastAsia" w:ascii="仿宋" w:hAnsi="仿宋" w:eastAsia="仿宋" w:cs="仿宋"/>
          <w:color w:val="auto"/>
          <w:spacing w:val="-7"/>
          <w:sz w:val="24"/>
          <w:u w:val="single"/>
        </w:rPr>
        <w:t>注：以上为部分项目清单，未来可根据临床检测需求，开展实体肿瘤 NGS 检测</w:t>
      </w:r>
      <w:r>
        <w:rPr>
          <w:rFonts w:hint="eastAsia" w:ascii="仿宋" w:hAnsi="仿宋" w:eastAsia="仿宋" w:cs="仿宋"/>
          <w:color w:val="auto"/>
          <w:spacing w:val="-7"/>
          <w:sz w:val="24"/>
          <w:u w:val="single"/>
          <w:lang w:eastAsia="zh-CN"/>
        </w:rPr>
        <w:t>、</w:t>
      </w:r>
      <w:r>
        <w:rPr>
          <w:rFonts w:hint="eastAsia" w:ascii="仿宋" w:hAnsi="仿宋" w:eastAsia="仿宋" w:cs="仿宋"/>
          <w:color w:val="auto"/>
          <w:spacing w:val="-7"/>
          <w:sz w:val="24"/>
          <w:u w:val="single"/>
        </w:rPr>
        <w:t>质谱类（含小分子检测、药物基因相关检测）、血液病分子检测、感染相关检测、遗传病 NGS 检测、病理类项目等大类新增项目及单项或多项组合套餐。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99FCE7"/>
    <w:multiLevelType w:val="singleLevel"/>
    <w:tmpl w:val="C099FCE7"/>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D6718"/>
    <w:rsid w:val="09937F44"/>
    <w:rsid w:val="0D8B10FD"/>
    <w:rsid w:val="0E7A3145"/>
    <w:rsid w:val="11085D12"/>
    <w:rsid w:val="1ADE1B43"/>
    <w:rsid w:val="1BBF396D"/>
    <w:rsid w:val="1C41576A"/>
    <w:rsid w:val="1DEF49F3"/>
    <w:rsid w:val="1E8D6303"/>
    <w:rsid w:val="222C38A7"/>
    <w:rsid w:val="25DD6718"/>
    <w:rsid w:val="282B6D42"/>
    <w:rsid w:val="348C12D1"/>
    <w:rsid w:val="383D2D78"/>
    <w:rsid w:val="3AB2234A"/>
    <w:rsid w:val="3B5E38BF"/>
    <w:rsid w:val="3F922D4B"/>
    <w:rsid w:val="442750B5"/>
    <w:rsid w:val="47780993"/>
    <w:rsid w:val="4DBE1949"/>
    <w:rsid w:val="4F9917EF"/>
    <w:rsid w:val="52D92AAB"/>
    <w:rsid w:val="53B830FE"/>
    <w:rsid w:val="546910BC"/>
    <w:rsid w:val="66CE2B84"/>
    <w:rsid w:val="68111D84"/>
    <w:rsid w:val="703D02D7"/>
    <w:rsid w:val="70DA498F"/>
    <w:rsid w:val="794068D3"/>
    <w:rsid w:val="7A6D4FCC"/>
    <w:rsid w:val="7BD51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eastAsia="仿宋_GB2312"/>
      <w:sz w:val="28"/>
    </w:rPr>
  </w:style>
  <w:style w:type="paragraph" w:styleId="3">
    <w:name w:val="Body Text First Indent"/>
    <w:basedOn w:val="2"/>
    <w:next w:val="1"/>
    <w:qFormat/>
    <w:uiPriority w:val="0"/>
    <w:pPr>
      <w:spacing w:after="120" w:line="240" w:lineRule="auto"/>
      <w:ind w:firstLine="420" w:firstLineChars="100"/>
    </w:pPr>
    <w:rPr>
      <w:rFonts w:eastAsia="宋体"/>
      <w:sz w:val="21"/>
    </w:rPr>
  </w:style>
  <w:style w:type="paragraph" w:styleId="4">
    <w:name w:val="Body Text Indent"/>
    <w:basedOn w:val="1"/>
    <w:qFormat/>
    <w:uiPriority w:val="99"/>
    <w:pPr>
      <w:spacing w:after="120"/>
      <w:ind w:left="420" w:leftChars="200"/>
    </w:pPr>
  </w:style>
  <w:style w:type="paragraph" w:styleId="5">
    <w:name w:val="Body Text First Indent 2"/>
    <w:basedOn w:val="4"/>
    <w:qFormat/>
    <w:uiPriority w:val="0"/>
    <w:pPr>
      <w:ind w:firstLine="420" w:firstLineChars="200"/>
    </w:pPr>
  </w:style>
  <w:style w:type="paragraph" w:customStyle="1" w:styleId="8">
    <w:name w:val="样式1"/>
    <w:basedOn w:val="1"/>
    <w:qFormat/>
    <w:uiPriority w:val="0"/>
    <w:pPr>
      <w:spacing w:line="360" w:lineRule="exact"/>
      <w:ind w:firstLine="200" w:firstLineChars="200"/>
    </w:pPr>
    <w:rPr>
      <w:sz w:val="20"/>
    </w:rPr>
  </w:style>
  <w:style w:type="character" w:customStyle="1" w:styleId="9">
    <w:name w:val="font61"/>
    <w:basedOn w:val="7"/>
    <w:qFormat/>
    <w:uiPriority w:val="0"/>
    <w:rPr>
      <w:rFonts w:hint="default" w:ascii="等线" w:hAnsi="等线" w:eastAsia="等线" w:cs="等线"/>
      <w:color w:val="000000"/>
      <w:sz w:val="22"/>
      <w:szCs w:val="22"/>
      <w:u w:val="none"/>
    </w:rPr>
  </w:style>
  <w:style w:type="character" w:customStyle="1" w:styleId="10">
    <w:name w:val="font21"/>
    <w:basedOn w:val="7"/>
    <w:qFormat/>
    <w:uiPriority w:val="0"/>
    <w:rPr>
      <w:rFonts w:hint="default" w:ascii="等线" w:hAnsi="等线" w:eastAsia="等线" w:cs="等线"/>
      <w:color w:val="000000"/>
      <w:sz w:val="22"/>
      <w:szCs w:val="22"/>
      <w:u w:val="none"/>
    </w:rPr>
  </w:style>
  <w:style w:type="character" w:customStyle="1" w:styleId="11">
    <w:name w:val="font01"/>
    <w:basedOn w:val="7"/>
    <w:qFormat/>
    <w:uiPriority w:val="0"/>
    <w:rPr>
      <w:rFonts w:hint="eastAsia" w:ascii="宋体" w:hAnsi="宋体" w:eastAsia="宋体" w:cs="宋体"/>
      <w:color w:val="000000"/>
      <w:sz w:val="22"/>
      <w:szCs w:val="22"/>
      <w:u w:val="none"/>
    </w:rPr>
  </w:style>
  <w:style w:type="character" w:customStyle="1" w:styleId="12">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5446</Words>
  <Characters>5907</Characters>
  <Lines>0</Lines>
  <Paragraphs>0</Paragraphs>
  <TotalTime>11</TotalTime>
  <ScaleCrop>false</ScaleCrop>
  <LinksUpToDate>false</LinksUpToDate>
  <CharactersWithSpaces>5934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2024-12-10T00:09:00Z</dcterms:created>
  <dc:creator>a</dc:creator>
  <cp:lastModifiedBy>石文龙</cp:lastModifiedBy>
  <dcterms:modified xsi:type="dcterms:W3CDTF">2026-01-13T00:51:51Z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278B896C82A84E39AA8D3C4E074C15F3</vt:lpwstr>
  </property>
</Properties>
</file>