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附件1.医用食品需求清单</w:t>
      </w:r>
    </w:p>
    <w:p>
      <w:pPr>
        <w:pStyle w:val="6"/>
        <w:rPr>
          <w:rFonts w:hint="default"/>
          <w:lang w:val="en-US" w:eastAsia="zh-CN"/>
        </w:rPr>
      </w:pPr>
    </w:p>
    <w:tbl>
      <w:tblPr>
        <w:tblStyle w:val="4"/>
        <w:tblW w:w="52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7"/>
        <w:gridCol w:w="2121"/>
        <w:gridCol w:w="2640"/>
        <w:gridCol w:w="3021"/>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tcPr>
          <w:p>
            <w:pPr>
              <w:pStyle w:val="2"/>
              <w:widowControl/>
              <w:spacing w:beforeAutospacing="0" w:afterAutospacing="0" w:line="360" w:lineRule="auto"/>
              <w:jc w:val="center"/>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序号</w:t>
            </w:r>
          </w:p>
        </w:tc>
        <w:tc>
          <w:tcPr>
            <w:tcW w:w="1101"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项目名称</w:t>
            </w:r>
          </w:p>
        </w:tc>
        <w:tc>
          <w:tcPr>
            <w:tcW w:w="1370" w:type="pct"/>
          </w:tcPr>
          <w:p>
            <w:pPr>
              <w:pStyle w:val="2"/>
              <w:widowControl/>
              <w:spacing w:beforeAutospacing="0" w:afterAutospacing="0" w:line="360" w:lineRule="auto"/>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功能主治</w:t>
            </w:r>
          </w:p>
        </w:tc>
        <w:tc>
          <w:tcPr>
            <w:tcW w:w="1568" w:type="pct"/>
          </w:tcPr>
          <w:p>
            <w:pPr>
              <w:pStyle w:val="2"/>
              <w:widowControl/>
              <w:spacing w:beforeAutospacing="0" w:afterAutospacing="0" w:line="360" w:lineRule="auto"/>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主成参数</w:t>
            </w:r>
          </w:p>
        </w:tc>
        <w:tc>
          <w:tcPr>
            <w:tcW w:w="619" w:type="pct"/>
          </w:tcPr>
          <w:p>
            <w:pPr>
              <w:pStyle w:val="2"/>
              <w:widowControl/>
              <w:spacing w:beforeAutospacing="0" w:afterAutospacing="0" w:line="360" w:lineRule="auto"/>
              <w:rPr>
                <w:rFonts w:hint="default" w:ascii="仿宋_GB2312" w:hAnsi="仿宋_GB2312" w:eastAsia="仿宋_GB2312" w:cs="仿宋_GB2312"/>
                <w:kern w:val="2"/>
                <w:sz w:val="24"/>
                <w:szCs w:val="22"/>
                <w:lang w:val="en-US" w:eastAsia="zh-CN" w:bidi="ar-SA"/>
              </w:rPr>
            </w:pPr>
            <w:r>
              <w:rPr>
                <w:rFonts w:hint="eastAsia" w:ascii="仿宋_GB2312" w:hAnsi="仿宋_GB2312" w:eastAsia="仿宋_GB2312" w:cs="仿宋_GB2312"/>
                <w:kern w:val="2"/>
                <w:sz w:val="24"/>
                <w:szCs w:val="22"/>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341" w:type="pct"/>
          </w:tcPr>
          <w:p>
            <w:pPr>
              <w:pStyle w:val="2"/>
              <w:widowControl/>
              <w:spacing w:beforeAutospacing="0" w:afterAutospacing="0" w:line="360" w:lineRule="auto"/>
              <w:jc w:val="center"/>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1</w:t>
            </w:r>
          </w:p>
        </w:tc>
        <w:tc>
          <w:tcPr>
            <w:tcW w:w="1101" w:type="pct"/>
            <w:vAlign w:val="center"/>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医用食品乳清蛋白粉</w:t>
            </w:r>
          </w:p>
        </w:tc>
        <w:tc>
          <w:tcPr>
            <w:tcW w:w="1370" w:type="pct"/>
          </w:tcPr>
          <w:p>
            <w:pPr>
              <w:pStyle w:val="2"/>
              <w:widowControl/>
              <w:spacing w:beforeAutospacing="0" w:afterAutospacing="0" w:line="360" w:lineRule="auto"/>
              <w:rPr>
                <w:rFonts w:hint="default" w:ascii="仿宋" w:hAnsi="仿宋" w:eastAsia="仿宋" w:cs="仿宋"/>
                <w:bCs/>
                <w:color w:val="auto"/>
                <w:kern w:val="0"/>
                <w:sz w:val="24"/>
                <w:lang w:val="en-US" w:eastAsia="zh-CN"/>
              </w:rPr>
            </w:pPr>
            <w:r>
              <w:rPr>
                <w:rFonts w:hint="default" w:ascii="仿宋" w:hAnsi="仿宋" w:eastAsia="仿宋" w:cs="仿宋"/>
                <w:bCs/>
                <w:color w:val="auto"/>
                <w:kern w:val="0"/>
                <w:sz w:val="24"/>
                <w:lang w:val="en-US" w:eastAsia="zh-CN"/>
              </w:rPr>
              <w:t>适用于各种需要额外补充蛋白质的人群，血白蛋白值低于35g/</w:t>
            </w:r>
            <w:r>
              <w:rPr>
                <w:rFonts w:hint="eastAsia" w:ascii="仿宋" w:hAnsi="仿宋" w:eastAsia="仿宋" w:cs="仿宋"/>
                <w:bCs/>
                <w:color w:val="auto"/>
                <w:kern w:val="0"/>
                <w:sz w:val="24"/>
                <w:lang w:val="en-US" w:eastAsia="zh-CN"/>
              </w:rPr>
              <w:t>L</w:t>
            </w:r>
            <w:r>
              <w:rPr>
                <w:rFonts w:hint="default" w:ascii="仿宋" w:hAnsi="仿宋" w:eastAsia="仿宋" w:cs="仿宋"/>
                <w:bCs/>
                <w:color w:val="auto"/>
                <w:kern w:val="0"/>
                <w:sz w:val="24"/>
                <w:lang w:val="en-US" w:eastAsia="zh-CN"/>
              </w:rPr>
              <w:t>的患者。</w:t>
            </w:r>
          </w:p>
        </w:tc>
        <w:tc>
          <w:tcPr>
            <w:tcW w:w="1568" w:type="pct"/>
          </w:tcPr>
          <w:p>
            <w:pPr>
              <w:tabs>
                <w:tab w:val="left" w:pos="312"/>
              </w:tabs>
              <w:spacing w:line="360" w:lineRule="exact"/>
              <w:rPr>
                <w:rFonts w:hint="eastAsia" w:ascii="仿宋" w:hAnsi="仿宋" w:eastAsia="仿宋" w:cs="仿宋"/>
                <w:bCs/>
                <w:color w:val="auto"/>
                <w:kern w:val="0"/>
                <w:sz w:val="24"/>
                <w:lang w:eastAsia="zh-CN"/>
              </w:rPr>
            </w:pPr>
            <w:r>
              <w:rPr>
                <w:rFonts w:hint="eastAsia" w:ascii="仿宋" w:hAnsi="仿宋" w:eastAsia="仿宋" w:cs="仿宋"/>
                <w:bCs/>
                <w:color w:val="auto"/>
                <w:kern w:val="0"/>
                <w:sz w:val="24"/>
              </w:rPr>
              <w:t>蛋白质来源浓缩乳清蛋白、分离乳清蛋白</w:t>
            </w:r>
            <w:r>
              <w:rPr>
                <w:rFonts w:hint="eastAsia" w:ascii="仿宋" w:hAnsi="仿宋" w:eastAsia="仿宋" w:cs="仿宋"/>
                <w:bCs/>
                <w:color w:val="auto"/>
                <w:kern w:val="0"/>
                <w:sz w:val="24"/>
                <w:lang w:eastAsia="zh-CN"/>
              </w:rPr>
              <w:t>。</w:t>
            </w:r>
          </w:p>
          <w:p>
            <w:pPr>
              <w:tabs>
                <w:tab w:val="left" w:pos="312"/>
              </w:tabs>
              <w:spacing w:line="360" w:lineRule="exact"/>
              <w:rPr>
                <w:rFonts w:ascii="仿宋" w:hAnsi="仿宋" w:eastAsia="仿宋" w:cs="仿宋"/>
                <w:bCs/>
                <w:color w:val="auto"/>
                <w:kern w:val="0"/>
                <w:sz w:val="24"/>
              </w:rPr>
            </w:pPr>
            <w:r>
              <w:rPr>
                <w:rFonts w:hint="eastAsia" w:ascii="仿宋" w:hAnsi="仿宋" w:eastAsia="仿宋" w:cs="仿宋"/>
                <w:bCs/>
                <w:color w:val="auto"/>
                <w:kern w:val="0"/>
                <w:sz w:val="24"/>
              </w:rPr>
              <w:t>蛋白质（g）≥80g/100g</w:t>
            </w:r>
          </w:p>
          <w:p>
            <w:pPr>
              <w:tabs>
                <w:tab w:val="left" w:pos="312"/>
              </w:tabs>
              <w:spacing w:line="360" w:lineRule="exact"/>
              <w:rPr>
                <w:rFonts w:ascii="仿宋" w:hAnsi="仿宋" w:eastAsia="仿宋" w:cs="仿宋"/>
                <w:bCs/>
                <w:color w:val="auto"/>
                <w:kern w:val="0"/>
                <w:sz w:val="24"/>
              </w:rPr>
            </w:pPr>
            <w:r>
              <w:rPr>
                <w:rFonts w:hint="eastAsia" w:ascii="仿宋" w:hAnsi="仿宋" w:eastAsia="仿宋" w:cs="仿宋"/>
                <w:bCs/>
                <w:color w:val="auto"/>
                <w:kern w:val="0"/>
                <w:sz w:val="24"/>
                <w:lang w:eastAsia="zh-CN"/>
              </w:rPr>
              <w:t>。</w:t>
            </w:r>
            <w:r>
              <w:rPr>
                <w:rFonts w:hint="eastAsia" w:ascii="仿宋" w:hAnsi="仿宋" w:eastAsia="仿宋" w:cs="仿宋"/>
                <w:bCs/>
                <w:color w:val="auto"/>
                <w:kern w:val="0"/>
                <w:sz w:val="24"/>
              </w:rPr>
              <w:t>脂肪（g）≤8g/100g，</w:t>
            </w:r>
          </w:p>
          <w:p>
            <w:pPr>
              <w:pStyle w:val="2"/>
              <w:widowControl/>
              <w:spacing w:beforeAutospacing="0" w:afterAutospacing="0" w:line="360" w:lineRule="auto"/>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eastAsia="zh-CN"/>
              </w:rPr>
              <w:t>。</w:t>
            </w:r>
            <w:r>
              <w:rPr>
                <w:rFonts w:hint="eastAsia" w:ascii="仿宋" w:hAnsi="仿宋" w:eastAsia="仿宋" w:cs="仿宋"/>
                <w:bCs/>
                <w:color w:val="auto"/>
                <w:kern w:val="0"/>
                <w:sz w:val="24"/>
              </w:rPr>
              <w:t>碳水化合物（g）≤</w:t>
            </w:r>
            <w:r>
              <w:rPr>
                <w:rFonts w:hint="eastAsia" w:ascii="仿宋" w:hAnsi="仿宋" w:eastAsia="仿宋" w:cs="仿宋"/>
                <w:bCs/>
                <w:color w:val="auto"/>
                <w:kern w:val="0"/>
                <w:sz w:val="24"/>
                <w:lang w:val="en-US" w:eastAsia="zh-CN"/>
              </w:rPr>
              <w:t>4</w:t>
            </w:r>
            <w:r>
              <w:rPr>
                <w:rFonts w:hint="eastAsia" w:ascii="仿宋" w:hAnsi="仿宋" w:eastAsia="仿宋" w:cs="仿宋"/>
                <w:bCs/>
                <w:color w:val="auto"/>
                <w:kern w:val="0"/>
                <w:sz w:val="24"/>
              </w:rPr>
              <w:t>g/100g。</w:t>
            </w:r>
          </w:p>
        </w:tc>
        <w:tc>
          <w:tcPr>
            <w:tcW w:w="619" w:type="pct"/>
            <w:vMerge w:val="restart"/>
            <w:vAlign w:val="center"/>
          </w:tcPr>
          <w:p>
            <w:pPr>
              <w:pStyle w:val="2"/>
              <w:widowControl/>
              <w:spacing w:beforeAutospacing="0" w:afterAutospacing="0" w:line="360" w:lineRule="auto"/>
              <w:jc w:val="center"/>
              <w:rPr>
                <w:rFonts w:hint="default" w:ascii="仿宋_GB2312" w:hAnsi="仿宋_GB2312" w:eastAsia="仿宋_GB2312" w:cs="仿宋_GB2312"/>
                <w:kern w:val="2"/>
                <w:sz w:val="24"/>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Merge w:val="restart"/>
          </w:tcPr>
          <w:p>
            <w:pPr>
              <w:pStyle w:val="2"/>
              <w:widowControl/>
              <w:spacing w:beforeAutospacing="0" w:afterAutospacing="0" w:line="360" w:lineRule="auto"/>
              <w:jc w:val="center"/>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2</w:t>
            </w:r>
          </w:p>
        </w:tc>
        <w:tc>
          <w:tcPr>
            <w:tcW w:w="1101" w:type="pct"/>
            <w:vAlign w:val="center"/>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全营养配方食品：整蛋白全营养液体制剂（普通型）</w:t>
            </w:r>
          </w:p>
        </w:tc>
        <w:tc>
          <w:tcPr>
            <w:tcW w:w="1370"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鼻饲患者</w:t>
            </w:r>
            <w:bookmarkStart w:id="1" w:name="_GoBack"/>
            <w:bookmarkEnd w:id="1"/>
            <w:r>
              <w:rPr>
                <w:rFonts w:hint="eastAsia" w:ascii="仿宋" w:hAnsi="仿宋" w:eastAsia="仿宋" w:cs="仿宋"/>
                <w:bCs/>
                <w:color w:val="auto"/>
                <w:kern w:val="0"/>
                <w:sz w:val="24"/>
                <w:lang w:val="en-US" w:eastAsia="zh-CN"/>
              </w:rPr>
              <w:t>营养摄入</w:t>
            </w:r>
          </w:p>
        </w:tc>
        <w:tc>
          <w:tcPr>
            <w:tcW w:w="1568" w:type="pct"/>
          </w:tcPr>
          <w:p>
            <w:pPr>
              <w:pStyle w:val="2"/>
              <w:widowControl/>
              <w:spacing w:beforeAutospacing="0" w:afterAutospacing="0" w:line="360" w:lineRule="auto"/>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rPr>
              <w:t>能量≥4</w:t>
            </w:r>
            <w:r>
              <w:rPr>
                <w:rFonts w:hint="eastAsia" w:ascii="仿宋" w:hAnsi="仿宋" w:eastAsia="仿宋" w:cs="仿宋"/>
                <w:bCs/>
                <w:color w:val="auto"/>
                <w:kern w:val="0"/>
                <w:sz w:val="24"/>
                <w:lang w:val="en-US" w:eastAsia="zh-CN"/>
              </w:rPr>
              <w:t>00</w:t>
            </w:r>
            <w:r>
              <w:rPr>
                <w:rFonts w:hint="eastAsia" w:ascii="仿宋" w:hAnsi="仿宋" w:eastAsia="仿宋" w:cs="仿宋"/>
                <w:bCs/>
                <w:color w:val="auto"/>
                <w:kern w:val="0"/>
                <w:sz w:val="24"/>
              </w:rPr>
              <w:t>KJ/100ml，蛋白质≥3.</w:t>
            </w:r>
            <w:r>
              <w:rPr>
                <w:rFonts w:hint="eastAsia" w:ascii="仿宋" w:hAnsi="仿宋" w:eastAsia="仿宋" w:cs="仿宋"/>
                <w:bCs/>
                <w:color w:val="auto"/>
                <w:kern w:val="0"/>
                <w:sz w:val="24"/>
                <w:lang w:val="en-US" w:eastAsia="zh-CN"/>
              </w:rPr>
              <w:t>5</w:t>
            </w:r>
            <w:r>
              <w:rPr>
                <w:rFonts w:hint="eastAsia" w:ascii="仿宋" w:hAnsi="仿宋" w:eastAsia="仿宋" w:cs="仿宋"/>
                <w:bCs/>
                <w:color w:val="auto"/>
                <w:kern w:val="0"/>
                <w:sz w:val="24"/>
              </w:rPr>
              <w:t>g/100ml，脂肪（g）≥3g/100ml，碳水化合物≥1</w:t>
            </w:r>
            <w:r>
              <w:rPr>
                <w:rFonts w:hint="eastAsia" w:ascii="仿宋" w:hAnsi="仿宋" w:eastAsia="仿宋" w:cs="仿宋"/>
                <w:bCs/>
                <w:color w:val="auto"/>
                <w:kern w:val="0"/>
                <w:sz w:val="24"/>
                <w:lang w:val="en-US" w:eastAsia="zh-CN"/>
              </w:rPr>
              <w:t>0</w:t>
            </w:r>
            <w:r>
              <w:rPr>
                <w:rFonts w:hint="eastAsia" w:ascii="仿宋" w:hAnsi="仿宋" w:eastAsia="仿宋" w:cs="仿宋"/>
                <w:bCs/>
                <w:color w:val="auto"/>
                <w:kern w:val="0"/>
                <w:sz w:val="24"/>
              </w:rPr>
              <w:t>g/100ml。</w:t>
            </w:r>
            <w:r>
              <w:rPr>
                <w:rFonts w:hint="eastAsia" w:ascii="仿宋" w:hAnsi="仿宋" w:eastAsia="仿宋" w:cs="仿宋"/>
                <w:bCs/>
                <w:color w:val="auto"/>
                <w:kern w:val="0"/>
                <w:sz w:val="24"/>
                <w:lang w:val="en-US" w:eastAsia="zh-CN"/>
              </w:rPr>
              <w:t>不含膳食纤维</w:t>
            </w:r>
          </w:p>
        </w:tc>
        <w:tc>
          <w:tcPr>
            <w:tcW w:w="619" w:type="pct"/>
            <w:vMerge w:val="continue"/>
          </w:tcPr>
          <w:p>
            <w:pPr>
              <w:pStyle w:val="2"/>
              <w:widowControl/>
              <w:spacing w:beforeAutospacing="0" w:afterAutospacing="0" w:line="360" w:lineRule="auto"/>
              <w:rPr>
                <w:rFonts w:hint="eastAsia" w:ascii="仿宋_GB2312" w:hAnsi="仿宋_GB2312" w:eastAsia="仿宋_GB2312" w:cs="仿宋_GB2312"/>
                <w:kern w:val="2"/>
                <w:sz w:val="24"/>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Merge w:val="continue"/>
          </w:tcPr>
          <w:p>
            <w:pPr>
              <w:pStyle w:val="2"/>
              <w:widowControl/>
              <w:spacing w:beforeAutospacing="0" w:afterAutospacing="0" w:line="360" w:lineRule="auto"/>
              <w:jc w:val="center"/>
              <w:rPr>
                <w:rFonts w:hint="eastAsia" w:ascii="仿宋" w:hAnsi="仿宋" w:eastAsia="仿宋" w:cs="仿宋"/>
                <w:bCs/>
                <w:color w:val="auto"/>
                <w:kern w:val="0"/>
                <w:sz w:val="24"/>
                <w:lang w:val="en-US" w:eastAsia="zh-CN"/>
              </w:rPr>
            </w:pPr>
          </w:p>
        </w:tc>
        <w:tc>
          <w:tcPr>
            <w:tcW w:w="1101" w:type="pct"/>
            <w:vAlign w:val="center"/>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全营养配方食品：整蛋白全营养粉剂（普通型）</w:t>
            </w:r>
          </w:p>
        </w:tc>
        <w:tc>
          <w:tcPr>
            <w:tcW w:w="1370"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有胃肠功能或部分胃肠功能，但存在营养摄入障碍患者补充营养。如昏迷、吞咽困难及食道肠梗阻患者；神经性厌食患者，颅面部、颈部创伤或手术后患者；烧伤患者；肿瘤患者等</w:t>
            </w:r>
          </w:p>
        </w:tc>
        <w:tc>
          <w:tcPr>
            <w:tcW w:w="1568" w:type="pct"/>
          </w:tcPr>
          <w:p>
            <w:pPr>
              <w:tabs>
                <w:tab w:val="left" w:pos="312"/>
              </w:tabs>
              <w:spacing w:line="360" w:lineRule="exact"/>
              <w:rPr>
                <w:rFonts w:ascii="仿宋" w:hAnsi="仿宋" w:eastAsia="仿宋" w:cs="仿宋"/>
                <w:bCs/>
                <w:color w:val="auto"/>
                <w:kern w:val="0"/>
                <w:sz w:val="24"/>
              </w:rPr>
            </w:pPr>
            <w:r>
              <w:rPr>
                <w:rFonts w:hint="eastAsia" w:ascii="仿宋" w:hAnsi="仿宋" w:eastAsia="仿宋" w:cs="仿宋"/>
                <w:bCs/>
                <w:color w:val="auto"/>
                <w:kern w:val="0"/>
                <w:sz w:val="24"/>
              </w:rPr>
              <w:t>能量≥18</w:t>
            </w:r>
            <w:r>
              <w:rPr>
                <w:rFonts w:hint="eastAsia" w:ascii="仿宋" w:hAnsi="仿宋" w:eastAsia="仿宋" w:cs="仿宋"/>
                <w:bCs/>
                <w:color w:val="auto"/>
                <w:kern w:val="0"/>
                <w:sz w:val="24"/>
                <w:lang w:val="en-US" w:eastAsia="zh-CN"/>
              </w:rPr>
              <w:t>00</w:t>
            </w:r>
            <w:r>
              <w:rPr>
                <w:rFonts w:hint="eastAsia" w:ascii="仿宋" w:hAnsi="仿宋" w:eastAsia="仿宋" w:cs="仿宋"/>
                <w:bCs/>
                <w:color w:val="auto"/>
                <w:kern w:val="0"/>
                <w:sz w:val="24"/>
              </w:rPr>
              <w:t>KJ/100g，蛋白质≥1</w:t>
            </w:r>
            <w:r>
              <w:rPr>
                <w:rFonts w:hint="eastAsia" w:ascii="仿宋" w:hAnsi="仿宋" w:eastAsia="仿宋" w:cs="仿宋"/>
                <w:bCs/>
                <w:color w:val="auto"/>
                <w:kern w:val="0"/>
                <w:sz w:val="24"/>
                <w:lang w:val="en-US" w:eastAsia="zh-CN"/>
              </w:rPr>
              <w:t>5</w:t>
            </w:r>
            <w:r>
              <w:rPr>
                <w:rFonts w:hint="eastAsia" w:ascii="仿宋" w:hAnsi="仿宋" w:eastAsia="仿宋" w:cs="仿宋"/>
                <w:bCs/>
                <w:color w:val="auto"/>
                <w:kern w:val="0"/>
                <w:sz w:val="24"/>
              </w:rPr>
              <w:t>g/100g，脂肪（g）≥1</w:t>
            </w:r>
            <w:r>
              <w:rPr>
                <w:rFonts w:hint="eastAsia" w:ascii="仿宋" w:hAnsi="仿宋" w:eastAsia="仿宋" w:cs="仿宋"/>
                <w:bCs/>
                <w:color w:val="auto"/>
                <w:kern w:val="0"/>
                <w:sz w:val="24"/>
                <w:lang w:val="en-US" w:eastAsia="zh-CN"/>
              </w:rPr>
              <w:t>5</w:t>
            </w:r>
            <w:r>
              <w:rPr>
                <w:rFonts w:hint="eastAsia" w:ascii="仿宋" w:hAnsi="仿宋" w:eastAsia="仿宋" w:cs="仿宋"/>
                <w:bCs/>
                <w:color w:val="auto"/>
                <w:kern w:val="0"/>
                <w:sz w:val="24"/>
              </w:rPr>
              <w:t>g/100g，碳水化合物≥5</w:t>
            </w:r>
            <w:r>
              <w:rPr>
                <w:rFonts w:hint="eastAsia" w:ascii="仿宋" w:hAnsi="仿宋" w:eastAsia="仿宋" w:cs="仿宋"/>
                <w:bCs/>
                <w:color w:val="auto"/>
                <w:kern w:val="0"/>
                <w:sz w:val="24"/>
                <w:lang w:val="en-US" w:eastAsia="zh-CN"/>
              </w:rPr>
              <w:t>0</w:t>
            </w:r>
            <w:r>
              <w:rPr>
                <w:rFonts w:hint="eastAsia" w:ascii="仿宋" w:hAnsi="仿宋" w:eastAsia="仿宋" w:cs="仿宋"/>
                <w:bCs/>
                <w:color w:val="auto"/>
                <w:kern w:val="0"/>
                <w:sz w:val="24"/>
              </w:rPr>
              <w:t>g/100g。</w:t>
            </w:r>
          </w:p>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不含膳食纤维</w:t>
            </w:r>
          </w:p>
        </w:tc>
        <w:tc>
          <w:tcPr>
            <w:tcW w:w="619" w:type="pct"/>
          </w:tcPr>
          <w:p>
            <w:pPr>
              <w:pStyle w:val="2"/>
              <w:widowControl/>
              <w:spacing w:beforeAutospacing="0" w:afterAutospacing="0" w:line="360" w:lineRule="auto"/>
              <w:rPr>
                <w:rFonts w:hint="eastAsia" w:ascii="仿宋_GB2312" w:hAnsi="仿宋_GB2312" w:eastAsia="仿宋_GB2312" w:cs="仿宋_GB2312"/>
                <w:kern w:val="2"/>
                <w:sz w:val="24"/>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Merge w:val="continue"/>
          </w:tcPr>
          <w:p>
            <w:pPr>
              <w:pStyle w:val="2"/>
              <w:widowControl/>
              <w:spacing w:beforeAutospacing="0" w:afterAutospacing="0" w:line="360" w:lineRule="auto"/>
              <w:jc w:val="center"/>
              <w:rPr>
                <w:rFonts w:hint="default" w:ascii="仿宋" w:hAnsi="仿宋" w:eastAsia="仿宋" w:cs="仿宋"/>
                <w:bCs/>
                <w:color w:val="auto"/>
                <w:kern w:val="0"/>
                <w:sz w:val="24"/>
                <w:lang w:val="en-US" w:eastAsia="zh-CN"/>
              </w:rPr>
            </w:pPr>
          </w:p>
        </w:tc>
        <w:tc>
          <w:tcPr>
            <w:tcW w:w="1101" w:type="pct"/>
            <w:vAlign w:val="center"/>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全营养配方食品：整蛋白全营养粉剂（纤维型）</w:t>
            </w:r>
          </w:p>
        </w:tc>
        <w:tc>
          <w:tcPr>
            <w:tcW w:w="1370"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可用于糖尿病患者及应激性高血糖患者，便秘患者等</w:t>
            </w:r>
          </w:p>
        </w:tc>
        <w:tc>
          <w:tcPr>
            <w:tcW w:w="1568" w:type="pct"/>
          </w:tcPr>
          <w:p>
            <w:pPr>
              <w:tabs>
                <w:tab w:val="left" w:pos="312"/>
              </w:tabs>
              <w:spacing w:line="360" w:lineRule="exact"/>
              <w:rPr>
                <w:rFonts w:ascii="仿宋" w:hAnsi="仿宋" w:eastAsia="仿宋" w:cs="仿宋"/>
                <w:bCs/>
                <w:color w:val="auto"/>
                <w:kern w:val="0"/>
                <w:sz w:val="24"/>
              </w:rPr>
            </w:pPr>
            <w:r>
              <w:rPr>
                <w:rFonts w:hint="eastAsia" w:ascii="仿宋" w:hAnsi="仿宋" w:eastAsia="仿宋" w:cs="仿宋"/>
                <w:bCs/>
                <w:color w:val="auto"/>
                <w:kern w:val="0"/>
                <w:sz w:val="24"/>
              </w:rPr>
              <w:t>能量≥17</w:t>
            </w:r>
            <w:r>
              <w:rPr>
                <w:rFonts w:hint="eastAsia" w:ascii="仿宋" w:hAnsi="仿宋" w:eastAsia="仿宋" w:cs="仿宋"/>
                <w:bCs/>
                <w:color w:val="auto"/>
                <w:kern w:val="0"/>
                <w:sz w:val="24"/>
                <w:lang w:val="en-US" w:eastAsia="zh-CN"/>
              </w:rPr>
              <w:t>00</w:t>
            </w:r>
            <w:r>
              <w:rPr>
                <w:rFonts w:hint="eastAsia" w:ascii="仿宋" w:hAnsi="仿宋" w:eastAsia="仿宋" w:cs="仿宋"/>
                <w:bCs/>
                <w:color w:val="auto"/>
                <w:kern w:val="0"/>
                <w:sz w:val="24"/>
              </w:rPr>
              <w:t>KJ/100g，蛋白质≥1</w:t>
            </w:r>
            <w:r>
              <w:rPr>
                <w:rFonts w:hint="eastAsia" w:ascii="仿宋" w:hAnsi="仿宋" w:eastAsia="仿宋" w:cs="仿宋"/>
                <w:bCs/>
                <w:color w:val="auto"/>
                <w:kern w:val="0"/>
                <w:sz w:val="24"/>
                <w:lang w:val="en-US" w:eastAsia="zh-CN"/>
              </w:rPr>
              <w:t>5</w:t>
            </w:r>
            <w:r>
              <w:rPr>
                <w:rFonts w:hint="eastAsia" w:ascii="仿宋" w:hAnsi="仿宋" w:eastAsia="仿宋" w:cs="仿宋"/>
                <w:bCs/>
                <w:color w:val="auto"/>
                <w:kern w:val="0"/>
                <w:sz w:val="24"/>
              </w:rPr>
              <w:t>g/100g，脂肪≥1</w:t>
            </w:r>
            <w:r>
              <w:rPr>
                <w:rFonts w:hint="eastAsia" w:ascii="仿宋" w:hAnsi="仿宋" w:eastAsia="仿宋" w:cs="仿宋"/>
                <w:bCs/>
                <w:color w:val="auto"/>
                <w:kern w:val="0"/>
                <w:sz w:val="24"/>
                <w:lang w:val="en-US" w:eastAsia="zh-CN"/>
              </w:rPr>
              <w:t>0</w:t>
            </w:r>
            <w:r>
              <w:rPr>
                <w:rFonts w:hint="eastAsia" w:ascii="仿宋" w:hAnsi="仿宋" w:eastAsia="仿宋" w:cs="仿宋"/>
                <w:bCs/>
                <w:color w:val="auto"/>
                <w:kern w:val="0"/>
                <w:sz w:val="24"/>
              </w:rPr>
              <w:t>g/100g，碳水化合物≥5</w:t>
            </w:r>
            <w:r>
              <w:rPr>
                <w:rFonts w:hint="eastAsia" w:ascii="仿宋" w:hAnsi="仿宋" w:eastAsia="仿宋" w:cs="仿宋"/>
                <w:bCs/>
                <w:color w:val="auto"/>
                <w:kern w:val="0"/>
                <w:sz w:val="24"/>
                <w:lang w:val="en-US" w:eastAsia="zh-CN"/>
              </w:rPr>
              <w:t>0</w:t>
            </w:r>
            <w:r>
              <w:rPr>
                <w:rFonts w:hint="eastAsia" w:ascii="仿宋" w:hAnsi="仿宋" w:eastAsia="仿宋" w:cs="仿宋"/>
                <w:bCs/>
                <w:color w:val="auto"/>
                <w:kern w:val="0"/>
                <w:sz w:val="24"/>
              </w:rPr>
              <w:t>g/100g</w:t>
            </w:r>
          </w:p>
          <w:p>
            <w:pPr>
              <w:tabs>
                <w:tab w:val="left" w:pos="312"/>
              </w:tabs>
              <w:spacing w:line="360" w:lineRule="exact"/>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rPr>
              <w:t>膳食纤维≥5g/100g。</w:t>
            </w:r>
          </w:p>
        </w:tc>
        <w:tc>
          <w:tcPr>
            <w:tcW w:w="619"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tcPr>
          <w:p>
            <w:pPr>
              <w:pStyle w:val="2"/>
              <w:widowControl/>
              <w:spacing w:beforeAutospacing="0" w:afterAutospacing="0" w:line="360" w:lineRule="auto"/>
              <w:jc w:val="center"/>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3</w:t>
            </w:r>
          </w:p>
        </w:tc>
        <w:tc>
          <w:tcPr>
            <w:tcW w:w="1101" w:type="pct"/>
            <w:vAlign w:val="center"/>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蛋白固体饮料（肠道滋养型）</w:t>
            </w:r>
          </w:p>
        </w:tc>
        <w:tc>
          <w:tcPr>
            <w:tcW w:w="1370"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一般性腹泻、便秘；严重烧伤、创伤、手术等应激状态下病人的肠道功能保护。</w:t>
            </w:r>
          </w:p>
        </w:tc>
        <w:tc>
          <w:tcPr>
            <w:tcW w:w="1568"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1、含谷氨酰胺；膳食纤维来源于聚葡萄糖和低聚果糖</w:t>
            </w:r>
          </w:p>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2、蛋白质含浓缩乳清蛋白和小麦肽粉</w:t>
            </w:r>
          </w:p>
        </w:tc>
        <w:tc>
          <w:tcPr>
            <w:tcW w:w="619"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341" w:type="pct"/>
          </w:tcPr>
          <w:p>
            <w:pPr>
              <w:pStyle w:val="2"/>
              <w:widowControl/>
              <w:spacing w:beforeAutospacing="0" w:afterAutospacing="0" w:line="360" w:lineRule="auto"/>
              <w:jc w:val="center"/>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4</w:t>
            </w:r>
          </w:p>
        </w:tc>
        <w:tc>
          <w:tcPr>
            <w:tcW w:w="1101" w:type="pct"/>
            <w:vAlign w:val="center"/>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固体饮料：HMB肌少症配方</w:t>
            </w:r>
          </w:p>
        </w:tc>
        <w:tc>
          <w:tcPr>
            <w:tcW w:w="1370"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治疗原发性和继发性肌肉减少症，促进肌肉蛋白质合成</w:t>
            </w:r>
          </w:p>
        </w:tc>
        <w:tc>
          <w:tcPr>
            <w:tcW w:w="1568"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1、含β-羟基-β甲基丁酸钙</w:t>
            </w:r>
          </w:p>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rPr>
              <w:t>2、</w:t>
            </w:r>
            <w:r>
              <w:rPr>
                <w:rFonts w:hint="eastAsia" w:ascii="仿宋" w:hAnsi="仿宋" w:eastAsia="仿宋" w:cs="仿宋"/>
                <w:bCs/>
                <w:color w:val="auto"/>
                <w:kern w:val="0"/>
                <w:sz w:val="24"/>
                <w:lang w:val="en-US" w:eastAsia="zh-CN"/>
              </w:rPr>
              <w:t>高含</w:t>
            </w:r>
            <w:r>
              <w:rPr>
                <w:rFonts w:hint="eastAsia" w:ascii="仿宋" w:hAnsi="仿宋" w:eastAsia="仿宋" w:cs="仿宋"/>
                <w:bCs/>
                <w:color w:val="auto"/>
                <w:kern w:val="0"/>
                <w:sz w:val="24"/>
              </w:rPr>
              <w:t>钙</w:t>
            </w:r>
            <w:r>
              <w:rPr>
                <w:rFonts w:hint="eastAsia" w:ascii="仿宋" w:hAnsi="仿宋" w:eastAsia="仿宋" w:cs="仿宋"/>
                <w:bCs/>
                <w:color w:val="auto"/>
                <w:kern w:val="0"/>
                <w:sz w:val="24"/>
                <w:lang w:val="en-US" w:eastAsia="zh-CN"/>
              </w:rPr>
              <w:t>量</w:t>
            </w:r>
          </w:p>
        </w:tc>
        <w:tc>
          <w:tcPr>
            <w:tcW w:w="619"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tcPr>
          <w:p>
            <w:pPr>
              <w:pStyle w:val="2"/>
              <w:widowControl/>
              <w:spacing w:beforeAutospacing="0" w:afterAutospacing="0" w:line="360" w:lineRule="auto"/>
              <w:jc w:val="center"/>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5</w:t>
            </w:r>
          </w:p>
        </w:tc>
        <w:tc>
          <w:tcPr>
            <w:tcW w:w="1101" w:type="pct"/>
            <w:vAlign w:val="center"/>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麦芽糊精果糖液</w:t>
            </w:r>
          </w:p>
        </w:tc>
        <w:tc>
          <w:tcPr>
            <w:tcW w:w="1370"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18岁以上术前需要补充碳水化合物的人群</w:t>
            </w:r>
          </w:p>
        </w:tc>
        <w:tc>
          <w:tcPr>
            <w:tcW w:w="1568"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 xml:space="preserve">主要成分为碳水化合物（含麦芽糊精、结晶果糖两种）。 </w:t>
            </w:r>
          </w:p>
        </w:tc>
        <w:tc>
          <w:tcPr>
            <w:tcW w:w="619"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tcPr>
          <w:p>
            <w:pPr>
              <w:pStyle w:val="2"/>
              <w:widowControl/>
              <w:spacing w:beforeAutospacing="0" w:afterAutospacing="0" w:line="360" w:lineRule="auto"/>
              <w:jc w:val="center"/>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6</w:t>
            </w:r>
          </w:p>
        </w:tc>
        <w:tc>
          <w:tcPr>
            <w:tcW w:w="1101" w:type="pct"/>
            <w:vAlign w:val="center"/>
          </w:tcPr>
          <w:p>
            <w:pPr>
              <w:pStyle w:val="2"/>
              <w:widowControl/>
              <w:spacing w:beforeAutospacing="0" w:afterAutospacing="0" w:line="360" w:lineRule="auto"/>
              <w:rPr>
                <w:rFonts w:hint="eastAsia" w:ascii="仿宋" w:hAnsi="仿宋" w:eastAsia="仿宋" w:cs="仿宋"/>
                <w:bCs/>
                <w:color w:val="auto"/>
                <w:kern w:val="0"/>
                <w:sz w:val="24"/>
                <w:lang w:val="en-US" w:eastAsia="zh-CN"/>
              </w:rPr>
            </w:pPr>
            <w:bookmarkStart w:id="0" w:name="OLE_LINK1"/>
            <w:r>
              <w:rPr>
                <w:rFonts w:hint="eastAsia" w:ascii="仿宋" w:hAnsi="仿宋" w:eastAsia="仿宋" w:cs="仿宋"/>
                <w:bCs/>
                <w:color w:val="auto"/>
                <w:kern w:val="0"/>
                <w:sz w:val="24"/>
                <w:lang w:val="en-US" w:eastAsia="zh-CN"/>
              </w:rPr>
              <w:t>水解蛋白液</w:t>
            </w:r>
            <w:bookmarkEnd w:id="0"/>
          </w:p>
        </w:tc>
        <w:tc>
          <w:tcPr>
            <w:tcW w:w="1370"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用于低蛋白血症以及各种疾病所致的营养不良、全身衰竭。亦可用于烧伤、骨折及术后伤口愈合不良。</w:t>
            </w:r>
          </w:p>
        </w:tc>
        <w:tc>
          <w:tcPr>
            <w:tcW w:w="1568" w:type="pct"/>
          </w:tcPr>
          <w:p>
            <w:pPr>
              <w:pStyle w:val="2"/>
              <w:widowControl/>
              <w:spacing w:beforeAutospacing="0" w:afterAutospacing="0" w:line="360" w:lineRule="auto"/>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水解乳清蛋白组成</w:t>
            </w:r>
          </w:p>
        </w:tc>
        <w:tc>
          <w:tcPr>
            <w:tcW w:w="619"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tcPr>
          <w:p>
            <w:pPr>
              <w:pStyle w:val="2"/>
              <w:widowControl/>
              <w:spacing w:beforeAutospacing="0" w:afterAutospacing="0" w:line="360" w:lineRule="auto"/>
              <w:jc w:val="center"/>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7</w:t>
            </w:r>
          </w:p>
        </w:tc>
        <w:tc>
          <w:tcPr>
            <w:tcW w:w="1101"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eastAsia="zh-Hans"/>
              </w:rPr>
              <w:t>含乳饮料</w:t>
            </w:r>
          </w:p>
        </w:tc>
        <w:tc>
          <w:tcPr>
            <w:tcW w:w="1370"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rPr>
              <w:t>适用于6岁以上人群，不透析的慢性慢性或急性肾功能衰竭、已患有或未来有可能营养不良或营养物质吸收障碍的病人的饮食治疗</w:t>
            </w:r>
            <w:r>
              <w:rPr>
                <w:rFonts w:hint="eastAsia" w:ascii="仿宋" w:hAnsi="仿宋" w:eastAsia="仿宋" w:cs="仿宋"/>
                <w:bCs/>
                <w:color w:val="auto"/>
                <w:kern w:val="0"/>
                <w:sz w:val="24"/>
                <w:lang w:eastAsia="zh-CN"/>
              </w:rPr>
              <w:t>。</w:t>
            </w:r>
          </w:p>
        </w:tc>
        <w:tc>
          <w:tcPr>
            <w:tcW w:w="1568" w:type="pct"/>
          </w:tcPr>
          <w:p>
            <w:pPr>
              <w:pStyle w:val="2"/>
              <w:widowControl/>
              <w:spacing w:beforeAutospacing="0" w:afterAutospacing="0" w:line="360" w:lineRule="auto"/>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能量密度高，低磷低钾低钠，可作为单一营养来源</w:t>
            </w:r>
          </w:p>
        </w:tc>
        <w:tc>
          <w:tcPr>
            <w:tcW w:w="619"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tcPr>
          <w:p>
            <w:pPr>
              <w:pStyle w:val="2"/>
              <w:widowControl/>
              <w:spacing w:beforeAutospacing="0" w:afterAutospacing="0" w:line="360" w:lineRule="auto"/>
              <w:jc w:val="center"/>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8</w:t>
            </w:r>
          </w:p>
        </w:tc>
        <w:tc>
          <w:tcPr>
            <w:tcW w:w="1101" w:type="pct"/>
          </w:tcPr>
          <w:p>
            <w:pPr>
              <w:pStyle w:val="2"/>
              <w:widowControl/>
              <w:spacing w:beforeAutospacing="0" w:afterAutospacing="0" w:line="360" w:lineRule="auto"/>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速溶分离乳清蛋白</w:t>
            </w:r>
          </w:p>
        </w:tc>
        <w:tc>
          <w:tcPr>
            <w:tcW w:w="1370"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适用于肾病透析、糖尿病等需严格管理膳食摄入的患者。</w:t>
            </w:r>
          </w:p>
        </w:tc>
        <w:tc>
          <w:tcPr>
            <w:tcW w:w="1568"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0钾0磷0糖0脂</w:t>
            </w:r>
          </w:p>
          <w:p>
            <w:pPr>
              <w:pStyle w:val="2"/>
              <w:widowControl/>
              <w:spacing w:beforeAutospacing="0" w:afterAutospacing="0" w:line="360" w:lineRule="auto"/>
              <w:rPr>
                <w:rFonts w:hint="default" w:ascii="仿宋" w:hAnsi="仿宋" w:eastAsia="仿宋" w:cs="仿宋"/>
                <w:bCs/>
                <w:color w:val="auto"/>
                <w:kern w:val="0"/>
                <w:sz w:val="24"/>
                <w:lang w:val="en-US" w:eastAsia="zh-CN"/>
              </w:rPr>
            </w:pPr>
            <w:r>
              <w:rPr>
                <w:rFonts w:hint="eastAsia" w:ascii="仿宋" w:hAnsi="仿宋" w:eastAsia="仿宋" w:cs="仿宋"/>
                <w:bCs/>
                <w:color w:val="auto"/>
                <w:kern w:val="0"/>
                <w:sz w:val="24"/>
                <w:lang w:val="en-US" w:eastAsia="zh-CN"/>
              </w:rPr>
              <w:t>优质蛋白来源</w:t>
            </w:r>
          </w:p>
        </w:tc>
        <w:tc>
          <w:tcPr>
            <w:tcW w:w="619" w:type="pct"/>
          </w:tcPr>
          <w:p>
            <w:pPr>
              <w:pStyle w:val="2"/>
              <w:widowControl/>
              <w:spacing w:beforeAutospacing="0" w:afterAutospacing="0" w:line="360" w:lineRule="auto"/>
              <w:rPr>
                <w:rFonts w:hint="eastAsia" w:ascii="仿宋" w:hAnsi="仿宋" w:eastAsia="仿宋" w:cs="仿宋"/>
                <w:bCs/>
                <w:color w:val="auto"/>
                <w:kern w:val="0"/>
                <w:sz w:val="24"/>
                <w:lang w:val="en-US" w:eastAsia="zh-CN"/>
              </w:rPr>
            </w:pPr>
          </w:p>
        </w:tc>
      </w:tr>
    </w:tbl>
    <w:p>
      <w:pPr>
        <w:pStyle w:val="2"/>
        <w:widowControl/>
        <w:spacing w:beforeAutospacing="0" w:afterAutospacing="0" w:line="360" w:lineRule="auto"/>
        <w:rPr>
          <w:rFonts w:hint="default" w:ascii="仿宋" w:hAnsi="仿宋" w:eastAsia="仿宋" w:cs="仿宋"/>
          <w:bCs/>
          <w:color w:val="auto"/>
          <w:kern w:val="0"/>
          <w:sz w:val="24"/>
          <w:lang w:val="en-US" w:eastAsia="zh-CN"/>
        </w:rPr>
      </w:pPr>
    </w:p>
    <w:sectPr>
      <w:pgSz w:w="11906" w:h="16838"/>
      <w:pgMar w:top="1327" w:right="1463" w:bottom="1327"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1A0796"/>
    <w:rsid w:val="05800F7E"/>
    <w:rsid w:val="06885BAC"/>
    <w:rsid w:val="251A0796"/>
    <w:rsid w:val="2AC714D6"/>
    <w:rsid w:val="2B175808"/>
    <w:rsid w:val="34A34580"/>
    <w:rsid w:val="34C37E8F"/>
    <w:rsid w:val="447660E6"/>
    <w:rsid w:val="4894769F"/>
    <w:rsid w:val="64053010"/>
    <w:rsid w:val="7CDF3602"/>
    <w:rsid w:val="7EC36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首行缩进"/>
    <w:basedOn w:val="1"/>
    <w:qFormat/>
    <w:uiPriority w:val="99"/>
    <w:pPr>
      <w:spacing w:line="360" w:lineRule="auto"/>
      <w:ind w:firstLine="480" w:firstLineChars="200"/>
    </w:pPr>
    <w:rPr>
      <w:sz w:val="24"/>
      <w:szCs w:val="22"/>
      <w:lang w:val="zh-CN"/>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415</Words>
  <Characters>420</Characters>
  <Lines>0</Lines>
  <Paragraphs>0</Paragraphs>
  <TotalTime>41</TotalTime>
  <ScaleCrop>false</ScaleCrop>
  <LinksUpToDate>false</LinksUpToDate>
  <CharactersWithSpaces>421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2025-09-08T04:01:00Z</dcterms:created>
  <dc:creator>Administrator</dc:creator>
  <cp:lastModifiedBy>石文龙</cp:lastModifiedBy>
  <dcterms:modified xsi:type="dcterms:W3CDTF">2026-02-14T02:35:47Z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2F59A7AA2FC2401BAD2B1401D787C286</vt:lpwstr>
  </property>
  <property fmtid="{D5CDD505-2E9C-101B-9397-08002B2CF9AE}" pid="4" name="KSOTemplateDocerSaveRecord">
    <vt:lpwstr>eyJoZGlkIjoiNzJmZTRkZmJiYTIwNmU0MjZmZGIyNmI4ZGZhZGY0YWMiLCJ1c2VySWQiOiIyNjMxNTQzMTAifQ==</vt:lpwstr>
  </property>
</Properties>
</file>