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4D62D">
      <w:pPr>
        <w:snapToGrid w:val="0"/>
        <w:spacing w:line="360" w:lineRule="auto"/>
        <w:ind w:firstLine="3052" w:firstLineChars="950"/>
        <w:rPr>
          <w:rFonts w:hint="eastAsia" w:ascii="仿宋" w:hAnsi="仿宋" w:eastAsia="仿宋"/>
          <w:b/>
          <w:color w:val="auto"/>
          <w:sz w:val="28"/>
          <w:szCs w:val="28"/>
          <w:highlight w:val="none"/>
        </w:rPr>
      </w:pPr>
      <w:r>
        <w:rPr>
          <w:rFonts w:hint="eastAsia" w:ascii="仿宋" w:hAnsi="仿宋" w:eastAsia="仿宋" w:cs="仿宋_GB2312"/>
          <w:b/>
          <w:color w:val="auto"/>
          <w:sz w:val="32"/>
          <w:highlight w:val="none"/>
        </w:rPr>
        <w:t>一、服务清单及要求</w:t>
      </w:r>
    </w:p>
    <w:p w14:paraId="78D11323">
      <w:pPr>
        <w:widowControl/>
        <w:snapToGrid w:val="0"/>
        <w:spacing w:line="480" w:lineRule="exact"/>
        <w:rPr>
          <w:rFonts w:hint="eastAsia" w:ascii="仿宋" w:eastAsia="仿宋"/>
          <w:b/>
          <w:bCs/>
          <w:color w:val="auto"/>
          <w:sz w:val="24"/>
          <w:highlight w:val="none"/>
        </w:rPr>
      </w:pPr>
      <w:r>
        <w:rPr>
          <w:rFonts w:hint="eastAsia" w:ascii="仿宋" w:eastAsia="仿宋"/>
          <w:b/>
          <w:bCs/>
          <w:color w:val="auto"/>
          <w:sz w:val="24"/>
          <w:highlight w:val="none"/>
        </w:rPr>
        <w:t>服务清单</w:t>
      </w:r>
      <w:bookmarkStart w:id="1" w:name="_GoBack"/>
      <w:bookmarkEnd w:id="1"/>
    </w:p>
    <w:tbl>
      <w:tblPr>
        <w:tblStyle w:val="9"/>
        <w:tblW w:w="88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70"/>
        <w:gridCol w:w="1270"/>
        <w:gridCol w:w="1584"/>
        <w:gridCol w:w="3714"/>
      </w:tblGrid>
      <w:tr w14:paraId="5CD0C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3540" w:type="dxa"/>
            <w:gridSpan w:val="2"/>
            <w:tcBorders>
              <w:top w:val="single" w:color="000000" w:sz="4" w:space="0"/>
              <w:left w:val="single" w:color="000000" w:sz="4" w:space="0"/>
              <w:bottom w:val="single" w:color="000000" w:sz="4" w:space="0"/>
              <w:right w:val="single" w:color="000000" w:sz="4" w:space="0"/>
            </w:tcBorders>
            <w:vAlign w:val="center"/>
          </w:tcPr>
          <w:p w14:paraId="55DB0ED4">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名称</w:t>
            </w:r>
          </w:p>
        </w:tc>
        <w:tc>
          <w:tcPr>
            <w:tcW w:w="1584" w:type="dxa"/>
            <w:tcBorders>
              <w:top w:val="single" w:color="000000" w:sz="4" w:space="0"/>
              <w:left w:val="single" w:color="000000" w:sz="4" w:space="0"/>
              <w:bottom w:val="single" w:color="000000" w:sz="4" w:space="0"/>
              <w:right w:val="single" w:color="000000" w:sz="4" w:space="0"/>
            </w:tcBorders>
            <w:vAlign w:val="center"/>
          </w:tcPr>
          <w:p w14:paraId="027C214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实际使用数量</w:t>
            </w:r>
          </w:p>
        </w:tc>
        <w:tc>
          <w:tcPr>
            <w:tcW w:w="3714" w:type="dxa"/>
            <w:tcBorders>
              <w:top w:val="single" w:color="000000" w:sz="4" w:space="0"/>
              <w:left w:val="single" w:color="000000" w:sz="4" w:space="0"/>
              <w:bottom w:val="single" w:color="000000" w:sz="4" w:space="0"/>
              <w:right w:val="single" w:color="000000" w:sz="4" w:space="0"/>
            </w:tcBorders>
            <w:vAlign w:val="center"/>
          </w:tcPr>
          <w:p w14:paraId="00DC7C6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要求（每年）</w:t>
            </w:r>
          </w:p>
        </w:tc>
      </w:tr>
      <w:tr w14:paraId="21782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restart"/>
            <w:tcBorders>
              <w:top w:val="single" w:color="000000" w:sz="4" w:space="0"/>
              <w:left w:val="single" w:color="000000" w:sz="4" w:space="0"/>
              <w:right w:val="single" w:color="000000" w:sz="4" w:space="0"/>
            </w:tcBorders>
            <w:vAlign w:val="center"/>
          </w:tcPr>
          <w:p w14:paraId="5E58F8FA">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r>
              <w:rPr>
                <w:rFonts w:hint="eastAsia" w:ascii="仿宋" w:hAnsi="仿宋" w:eastAsia="仿宋" w:cs="仿宋"/>
                <w:i w:val="0"/>
                <w:iCs w:val="0"/>
                <w:color w:val="auto"/>
                <w:kern w:val="0"/>
                <w:sz w:val="24"/>
                <w:szCs w:val="24"/>
                <w:u w:val="none"/>
                <w:lang w:val="en-US" w:eastAsia="zh-CN"/>
              </w:rPr>
              <w:t>风机盘管（3006台）</w:t>
            </w:r>
          </w:p>
        </w:tc>
        <w:tc>
          <w:tcPr>
            <w:tcW w:w="1270" w:type="dxa"/>
            <w:tcBorders>
              <w:top w:val="single" w:color="000000" w:sz="4" w:space="0"/>
              <w:left w:val="single" w:color="000000" w:sz="4" w:space="0"/>
              <w:bottom w:val="single" w:color="000000" w:sz="4" w:space="0"/>
              <w:right w:val="single" w:color="000000" w:sz="4" w:space="0"/>
            </w:tcBorders>
            <w:vAlign w:val="center"/>
          </w:tcPr>
          <w:p w14:paraId="35F698CD">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人防医院</w:t>
            </w:r>
          </w:p>
        </w:tc>
        <w:tc>
          <w:tcPr>
            <w:tcW w:w="1584" w:type="dxa"/>
            <w:tcBorders>
              <w:top w:val="single" w:color="000000" w:sz="4" w:space="0"/>
              <w:left w:val="single" w:color="000000" w:sz="4" w:space="0"/>
              <w:bottom w:val="single" w:color="000000" w:sz="4" w:space="0"/>
              <w:right w:val="single" w:color="000000" w:sz="4" w:space="0"/>
            </w:tcBorders>
            <w:vAlign w:val="center"/>
          </w:tcPr>
          <w:p w14:paraId="123779D2">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108台</w:t>
            </w:r>
          </w:p>
        </w:tc>
        <w:tc>
          <w:tcPr>
            <w:tcW w:w="3714" w:type="dxa"/>
            <w:vMerge w:val="restart"/>
            <w:tcBorders>
              <w:top w:val="single" w:color="000000" w:sz="4" w:space="0"/>
              <w:left w:val="single" w:color="000000" w:sz="4" w:space="0"/>
              <w:right w:val="single" w:color="000000" w:sz="4" w:space="0"/>
            </w:tcBorders>
            <w:vAlign w:val="center"/>
          </w:tcPr>
          <w:p w14:paraId="59F740AE">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r>
              <w:rPr>
                <w:rFonts w:hint="eastAsia" w:ascii="仿宋" w:hAnsi="仿宋" w:eastAsia="仿宋" w:cs="仿宋"/>
                <w:i w:val="0"/>
                <w:iCs w:val="0"/>
                <w:color w:val="auto"/>
                <w:kern w:val="0"/>
                <w:sz w:val="24"/>
                <w:szCs w:val="24"/>
                <w:u w:val="none"/>
                <w:lang w:val="en-US" w:eastAsia="zh-CN"/>
              </w:rPr>
              <w:t>首次对风机盘管按要求彻底清洗并消毒处理，后进行一次对滤网清洗或更换。</w:t>
            </w:r>
          </w:p>
        </w:tc>
      </w:tr>
      <w:tr w14:paraId="2FAEC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270" w:type="dxa"/>
            <w:vMerge w:val="continue"/>
            <w:tcBorders>
              <w:left w:val="single" w:color="000000" w:sz="4" w:space="0"/>
              <w:bottom w:val="single" w:color="000000" w:sz="4" w:space="0"/>
              <w:right w:val="single" w:color="000000" w:sz="4" w:space="0"/>
            </w:tcBorders>
            <w:vAlign w:val="center"/>
          </w:tcPr>
          <w:p w14:paraId="1C0AD2B5">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4748FA76">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其余位置</w:t>
            </w:r>
          </w:p>
        </w:tc>
        <w:tc>
          <w:tcPr>
            <w:tcW w:w="1584" w:type="dxa"/>
            <w:tcBorders>
              <w:top w:val="single" w:color="000000" w:sz="4" w:space="0"/>
              <w:left w:val="single" w:color="000000" w:sz="4" w:space="0"/>
              <w:bottom w:val="single" w:color="000000" w:sz="4" w:space="0"/>
              <w:right w:val="single" w:color="000000" w:sz="4" w:space="0"/>
            </w:tcBorders>
            <w:vAlign w:val="center"/>
          </w:tcPr>
          <w:p w14:paraId="3DAD668A">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2898台</w:t>
            </w:r>
          </w:p>
        </w:tc>
        <w:tc>
          <w:tcPr>
            <w:tcW w:w="3714" w:type="dxa"/>
            <w:vMerge w:val="continue"/>
            <w:tcBorders>
              <w:left w:val="single" w:color="000000" w:sz="4" w:space="0"/>
              <w:bottom w:val="single" w:color="000000" w:sz="4" w:space="0"/>
              <w:right w:val="single" w:color="000000" w:sz="4" w:space="0"/>
            </w:tcBorders>
            <w:vAlign w:val="center"/>
          </w:tcPr>
          <w:p w14:paraId="0284A023">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r>
      <w:tr w14:paraId="18559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restart"/>
            <w:tcBorders>
              <w:top w:val="single" w:color="000000" w:sz="4" w:space="0"/>
              <w:left w:val="single" w:color="000000" w:sz="4" w:space="0"/>
              <w:bottom w:val="single" w:color="000000" w:sz="4" w:space="0"/>
              <w:right w:val="single" w:color="000000" w:sz="4" w:space="0"/>
            </w:tcBorders>
            <w:vAlign w:val="center"/>
          </w:tcPr>
          <w:p w14:paraId="5702B77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风管（42885.48㎡）</w:t>
            </w:r>
          </w:p>
        </w:tc>
        <w:tc>
          <w:tcPr>
            <w:tcW w:w="1270" w:type="dxa"/>
            <w:tcBorders>
              <w:top w:val="single" w:color="000000" w:sz="4" w:space="0"/>
              <w:left w:val="single" w:color="000000" w:sz="4" w:space="0"/>
              <w:bottom w:val="single" w:color="000000" w:sz="4" w:space="0"/>
              <w:right w:val="single" w:color="000000" w:sz="4" w:space="0"/>
            </w:tcBorders>
            <w:vAlign w:val="center"/>
          </w:tcPr>
          <w:p w14:paraId="441478F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综合楼</w:t>
            </w:r>
          </w:p>
        </w:tc>
        <w:tc>
          <w:tcPr>
            <w:tcW w:w="1584" w:type="dxa"/>
            <w:tcBorders>
              <w:top w:val="single" w:color="000000" w:sz="4" w:space="0"/>
              <w:left w:val="single" w:color="000000" w:sz="4" w:space="0"/>
              <w:bottom w:val="single" w:color="000000" w:sz="4" w:space="0"/>
              <w:right w:val="single" w:color="000000" w:sz="4" w:space="0"/>
            </w:tcBorders>
            <w:vAlign w:val="center"/>
          </w:tcPr>
          <w:p w14:paraId="2440173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32129.7㎡</w:t>
            </w:r>
          </w:p>
        </w:tc>
        <w:tc>
          <w:tcPr>
            <w:tcW w:w="3714" w:type="dxa"/>
            <w:vMerge w:val="restart"/>
            <w:tcBorders>
              <w:top w:val="single" w:color="000000" w:sz="4" w:space="0"/>
              <w:left w:val="single" w:color="000000" w:sz="4" w:space="0"/>
              <w:bottom w:val="single" w:color="000000" w:sz="4" w:space="0"/>
              <w:right w:val="single" w:color="000000" w:sz="4" w:space="0"/>
            </w:tcBorders>
            <w:vAlign w:val="center"/>
          </w:tcPr>
          <w:p w14:paraId="6B0A238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按要求进行清洗消毒一次，确保服务期内达到要求（完成清洗后提供二次检测报告）</w:t>
            </w:r>
          </w:p>
        </w:tc>
      </w:tr>
      <w:tr w14:paraId="3F1C8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top w:val="single" w:color="000000" w:sz="4" w:space="0"/>
              <w:left w:val="single" w:color="000000" w:sz="4" w:space="0"/>
              <w:bottom w:val="single" w:color="000000" w:sz="4" w:space="0"/>
              <w:right w:val="single" w:color="000000" w:sz="4" w:space="0"/>
            </w:tcBorders>
            <w:vAlign w:val="center"/>
          </w:tcPr>
          <w:p w14:paraId="7D14F4DB">
            <w:pPr>
              <w:jc w:val="center"/>
              <w:rPr>
                <w:rFonts w:hint="eastAsia" w:ascii="仿宋" w:hAnsi="仿宋" w:eastAsia="仿宋" w:cs="仿宋"/>
                <w:i w:val="0"/>
                <w:iCs w:val="0"/>
                <w:color w:val="auto"/>
                <w:sz w:val="24"/>
                <w:szCs w:val="24"/>
                <w:u w:val="none"/>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0F5F2396">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康复楼</w:t>
            </w:r>
          </w:p>
        </w:tc>
        <w:tc>
          <w:tcPr>
            <w:tcW w:w="1584" w:type="dxa"/>
            <w:tcBorders>
              <w:top w:val="single" w:color="000000" w:sz="4" w:space="0"/>
              <w:left w:val="single" w:color="000000" w:sz="4" w:space="0"/>
              <w:bottom w:val="single" w:color="000000" w:sz="4" w:space="0"/>
              <w:right w:val="single" w:color="000000" w:sz="4" w:space="0"/>
            </w:tcBorders>
            <w:vAlign w:val="center"/>
          </w:tcPr>
          <w:p w14:paraId="348E9693">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8048.78㎡</w:t>
            </w:r>
          </w:p>
        </w:tc>
        <w:tc>
          <w:tcPr>
            <w:tcW w:w="3714" w:type="dxa"/>
            <w:vMerge w:val="continue"/>
            <w:tcBorders>
              <w:top w:val="single" w:color="000000" w:sz="4" w:space="0"/>
              <w:left w:val="single" w:color="000000" w:sz="4" w:space="0"/>
              <w:bottom w:val="single" w:color="000000" w:sz="4" w:space="0"/>
              <w:right w:val="single" w:color="000000" w:sz="4" w:space="0"/>
            </w:tcBorders>
            <w:vAlign w:val="center"/>
          </w:tcPr>
          <w:p w14:paraId="21789A65">
            <w:pPr>
              <w:jc w:val="center"/>
              <w:rPr>
                <w:rFonts w:hint="eastAsia" w:ascii="仿宋" w:hAnsi="仿宋" w:eastAsia="仿宋" w:cs="仿宋"/>
                <w:i w:val="0"/>
                <w:iCs w:val="0"/>
                <w:color w:val="auto"/>
                <w:sz w:val="24"/>
                <w:szCs w:val="24"/>
                <w:u w:val="none"/>
              </w:rPr>
            </w:pPr>
          </w:p>
        </w:tc>
      </w:tr>
      <w:tr w14:paraId="0E24E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top w:val="single" w:color="000000" w:sz="4" w:space="0"/>
              <w:left w:val="single" w:color="000000" w:sz="4" w:space="0"/>
              <w:bottom w:val="single" w:color="000000" w:sz="4" w:space="0"/>
              <w:right w:val="single" w:color="000000" w:sz="4" w:space="0"/>
            </w:tcBorders>
            <w:vAlign w:val="center"/>
          </w:tcPr>
          <w:p w14:paraId="567C89C5">
            <w:pPr>
              <w:jc w:val="center"/>
              <w:rPr>
                <w:rFonts w:hint="eastAsia" w:ascii="仿宋" w:hAnsi="仿宋" w:eastAsia="仿宋" w:cs="仿宋"/>
                <w:i w:val="0"/>
                <w:iCs w:val="0"/>
                <w:color w:val="auto"/>
                <w:sz w:val="24"/>
                <w:szCs w:val="24"/>
                <w:u w:val="none"/>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582733B2">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感染楼</w:t>
            </w:r>
          </w:p>
        </w:tc>
        <w:tc>
          <w:tcPr>
            <w:tcW w:w="1584" w:type="dxa"/>
            <w:tcBorders>
              <w:top w:val="single" w:color="000000" w:sz="4" w:space="0"/>
              <w:left w:val="single" w:color="000000" w:sz="4" w:space="0"/>
              <w:bottom w:val="single" w:color="000000" w:sz="4" w:space="0"/>
              <w:right w:val="single" w:color="000000" w:sz="4" w:space="0"/>
            </w:tcBorders>
            <w:vAlign w:val="center"/>
          </w:tcPr>
          <w:p w14:paraId="52972B5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2565.4㎡</w:t>
            </w:r>
          </w:p>
        </w:tc>
        <w:tc>
          <w:tcPr>
            <w:tcW w:w="3714" w:type="dxa"/>
            <w:vMerge w:val="continue"/>
            <w:tcBorders>
              <w:top w:val="single" w:color="000000" w:sz="4" w:space="0"/>
              <w:left w:val="single" w:color="000000" w:sz="4" w:space="0"/>
              <w:bottom w:val="single" w:color="000000" w:sz="4" w:space="0"/>
              <w:right w:val="single" w:color="000000" w:sz="4" w:space="0"/>
            </w:tcBorders>
            <w:vAlign w:val="center"/>
          </w:tcPr>
          <w:p w14:paraId="541E4C7A">
            <w:pPr>
              <w:jc w:val="center"/>
              <w:rPr>
                <w:rFonts w:hint="eastAsia" w:ascii="仿宋" w:hAnsi="仿宋" w:eastAsia="仿宋" w:cs="仿宋"/>
                <w:i w:val="0"/>
                <w:iCs w:val="0"/>
                <w:color w:val="auto"/>
                <w:sz w:val="24"/>
                <w:szCs w:val="24"/>
                <w:u w:val="none"/>
              </w:rPr>
            </w:pPr>
          </w:p>
        </w:tc>
      </w:tr>
      <w:tr w14:paraId="78F5C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top w:val="single" w:color="000000" w:sz="4" w:space="0"/>
              <w:left w:val="single" w:color="000000" w:sz="4" w:space="0"/>
              <w:bottom w:val="single" w:color="000000" w:sz="4" w:space="0"/>
              <w:right w:val="single" w:color="000000" w:sz="4" w:space="0"/>
            </w:tcBorders>
            <w:vAlign w:val="center"/>
          </w:tcPr>
          <w:p w14:paraId="0E963F2E">
            <w:pPr>
              <w:jc w:val="center"/>
              <w:rPr>
                <w:rFonts w:hint="eastAsia" w:ascii="仿宋" w:hAnsi="仿宋" w:eastAsia="仿宋" w:cs="仿宋"/>
                <w:i w:val="0"/>
                <w:iCs w:val="0"/>
                <w:color w:val="auto"/>
                <w:sz w:val="24"/>
                <w:szCs w:val="24"/>
                <w:u w:val="none"/>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7D00758B">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高压氧舱</w:t>
            </w:r>
          </w:p>
        </w:tc>
        <w:tc>
          <w:tcPr>
            <w:tcW w:w="1584" w:type="dxa"/>
            <w:tcBorders>
              <w:top w:val="single" w:color="000000" w:sz="4" w:space="0"/>
              <w:left w:val="single" w:color="000000" w:sz="4" w:space="0"/>
              <w:bottom w:val="single" w:color="000000" w:sz="4" w:space="0"/>
              <w:right w:val="single" w:color="000000" w:sz="4" w:space="0"/>
            </w:tcBorders>
            <w:vAlign w:val="center"/>
          </w:tcPr>
          <w:p w14:paraId="3C198DF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141.6㎡</w:t>
            </w:r>
          </w:p>
        </w:tc>
        <w:tc>
          <w:tcPr>
            <w:tcW w:w="3714" w:type="dxa"/>
            <w:vMerge w:val="continue"/>
            <w:tcBorders>
              <w:top w:val="single" w:color="000000" w:sz="4" w:space="0"/>
              <w:left w:val="single" w:color="000000" w:sz="4" w:space="0"/>
              <w:bottom w:val="single" w:color="000000" w:sz="4" w:space="0"/>
              <w:right w:val="single" w:color="000000" w:sz="4" w:space="0"/>
            </w:tcBorders>
            <w:vAlign w:val="center"/>
          </w:tcPr>
          <w:p w14:paraId="07D3E0F0">
            <w:pPr>
              <w:jc w:val="center"/>
              <w:rPr>
                <w:rFonts w:hint="eastAsia" w:ascii="仿宋" w:hAnsi="仿宋" w:eastAsia="仿宋" w:cs="仿宋"/>
                <w:i w:val="0"/>
                <w:iCs w:val="0"/>
                <w:color w:val="auto"/>
                <w:sz w:val="24"/>
                <w:szCs w:val="24"/>
                <w:u w:val="none"/>
              </w:rPr>
            </w:pPr>
          </w:p>
        </w:tc>
      </w:tr>
      <w:tr w14:paraId="55142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2270" w:type="dxa"/>
            <w:tcBorders>
              <w:top w:val="single" w:color="000000" w:sz="4" w:space="0"/>
              <w:left w:val="single" w:color="000000" w:sz="4" w:space="0"/>
              <w:bottom w:val="single" w:color="000000" w:sz="4" w:space="0"/>
              <w:right w:val="single" w:color="000000" w:sz="4" w:space="0"/>
            </w:tcBorders>
            <w:vAlign w:val="center"/>
          </w:tcPr>
          <w:p w14:paraId="384C7FB9">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空调机组（49台）</w:t>
            </w:r>
          </w:p>
        </w:tc>
        <w:tc>
          <w:tcPr>
            <w:tcW w:w="1270" w:type="dxa"/>
            <w:tcBorders>
              <w:top w:val="single" w:color="000000" w:sz="4" w:space="0"/>
              <w:left w:val="single" w:color="000000" w:sz="4" w:space="0"/>
              <w:bottom w:val="single" w:color="000000" w:sz="4" w:space="0"/>
              <w:right w:val="single" w:color="000000" w:sz="4" w:space="0"/>
            </w:tcBorders>
            <w:vAlign w:val="center"/>
          </w:tcPr>
          <w:p w14:paraId="2DBCD69F">
            <w:pPr>
              <w:jc w:val="center"/>
              <w:rPr>
                <w:rFonts w:hint="eastAsia" w:ascii="仿宋" w:hAnsi="仿宋" w:eastAsia="仿宋" w:cs="仿宋"/>
                <w:i w:val="0"/>
                <w:iCs w:val="0"/>
                <w:color w:val="auto"/>
                <w:kern w:val="2"/>
                <w:sz w:val="24"/>
                <w:szCs w:val="24"/>
                <w:u w:val="none"/>
                <w:lang w:val="en-US" w:eastAsia="zh-CN" w:bidi="ar-SA"/>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556542BE">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49台</w:t>
            </w:r>
          </w:p>
        </w:tc>
        <w:tc>
          <w:tcPr>
            <w:tcW w:w="3714" w:type="dxa"/>
            <w:tcBorders>
              <w:top w:val="single" w:color="000000" w:sz="4" w:space="0"/>
              <w:left w:val="single" w:color="000000" w:sz="4" w:space="0"/>
              <w:bottom w:val="single" w:color="000000" w:sz="4" w:space="0"/>
              <w:right w:val="single" w:color="000000" w:sz="4" w:space="0"/>
            </w:tcBorders>
            <w:vAlign w:val="center"/>
          </w:tcPr>
          <w:p w14:paraId="02A297CE">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首次对空调机组按要求彻底清洗并消毒处理，后一次对滤网进行清洗</w:t>
            </w:r>
          </w:p>
        </w:tc>
      </w:tr>
      <w:tr w14:paraId="5AC58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2270" w:type="dxa"/>
            <w:tcBorders>
              <w:top w:val="single" w:color="000000" w:sz="4" w:space="0"/>
              <w:left w:val="single" w:color="000000" w:sz="4" w:space="0"/>
              <w:bottom w:val="single" w:color="000000" w:sz="4" w:space="0"/>
              <w:right w:val="single" w:color="000000" w:sz="4" w:space="0"/>
            </w:tcBorders>
            <w:vAlign w:val="center"/>
          </w:tcPr>
          <w:p w14:paraId="4D6DE8E2">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新风机组（57台）</w:t>
            </w:r>
          </w:p>
        </w:tc>
        <w:tc>
          <w:tcPr>
            <w:tcW w:w="1270" w:type="dxa"/>
            <w:tcBorders>
              <w:top w:val="single" w:color="000000" w:sz="4" w:space="0"/>
              <w:left w:val="single" w:color="000000" w:sz="4" w:space="0"/>
              <w:bottom w:val="single" w:color="000000" w:sz="4" w:space="0"/>
              <w:right w:val="single" w:color="000000" w:sz="4" w:space="0"/>
            </w:tcBorders>
            <w:vAlign w:val="center"/>
          </w:tcPr>
          <w:p w14:paraId="21937FCA">
            <w:pPr>
              <w:jc w:val="center"/>
              <w:rPr>
                <w:rFonts w:hint="eastAsia" w:ascii="仿宋" w:hAnsi="仿宋" w:eastAsia="仿宋" w:cs="仿宋"/>
                <w:i w:val="0"/>
                <w:iCs w:val="0"/>
                <w:color w:val="auto"/>
                <w:kern w:val="2"/>
                <w:sz w:val="24"/>
                <w:szCs w:val="24"/>
                <w:u w:val="none"/>
                <w:lang w:val="en-US" w:eastAsia="zh-CN" w:bidi="ar-SA"/>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6EF93628">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57台</w:t>
            </w:r>
          </w:p>
        </w:tc>
        <w:tc>
          <w:tcPr>
            <w:tcW w:w="3714" w:type="dxa"/>
            <w:tcBorders>
              <w:top w:val="single" w:color="000000" w:sz="4" w:space="0"/>
              <w:left w:val="single" w:color="000000" w:sz="4" w:space="0"/>
              <w:bottom w:val="single" w:color="000000" w:sz="4" w:space="0"/>
              <w:right w:val="single" w:color="000000" w:sz="4" w:space="0"/>
            </w:tcBorders>
            <w:vAlign w:val="center"/>
          </w:tcPr>
          <w:p w14:paraId="1BE79EBC">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首次对空调机组按要求彻底清洗并消毒处理，后一次对滤网进行清洗</w:t>
            </w:r>
          </w:p>
        </w:tc>
      </w:tr>
      <w:tr w14:paraId="5932A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restart"/>
            <w:tcBorders>
              <w:top w:val="single" w:color="000000" w:sz="4" w:space="0"/>
              <w:left w:val="single" w:color="000000" w:sz="4" w:space="0"/>
              <w:bottom w:val="single" w:color="000000" w:sz="4" w:space="0"/>
              <w:right w:val="single" w:color="000000" w:sz="4" w:space="0"/>
            </w:tcBorders>
            <w:vAlign w:val="center"/>
          </w:tcPr>
          <w:p w14:paraId="3CD22EE1">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（VRV)多联机内机（自带冷凝水泵）（389台）</w:t>
            </w:r>
          </w:p>
        </w:tc>
        <w:tc>
          <w:tcPr>
            <w:tcW w:w="1270" w:type="dxa"/>
            <w:tcBorders>
              <w:top w:val="single" w:color="000000" w:sz="4" w:space="0"/>
              <w:left w:val="single" w:color="000000" w:sz="4" w:space="0"/>
              <w:bottom w:val="single" w:color="000000" w:sz="4" w:space="0"/>
              <w:right w:val="single" w:color="000000" w:sz="4" w:space="0"/>
            </w:tcBorders>
            <w:vAlign w:val="center"/>
          </w:tcPr>
          <w:p w14:paraId="63D233E5">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综合楼</w:t>
            </w:r>
          </w:p>
        </w:tc>
        <w:tc>
          <w:tcPr>
            <w:tcW w:w="1584" w:type="dxa"/>
            <w:tcBorders>
              <w:top w:val="single" w:color="000000" w:sz="4" w:space="0"/>
              <w:left w:val="single" w:color="000000" w:sz="4" w:space="0"/>
              <w:bottom w:val="single" w:color="000000" w:sz="4" w:space="0"/>
              <w:right w:val="single" w:color="000000" w:sz="4" w:space="0"/>
            </w:tcBorders>
            <w:vAlign w:val="center"/>
          </w:tcPr>
          <w:p w14:paraId="6D8DD35C">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107台</w:t>
            </w:r>
          </w:p>
        </w:tc>
        <w:tc>
          <w:tcPr>
            <w:tcW w:w="3714" w:type="dxa"/>
            <w:vMerge w:val="restart"/>
            <w:tcBorders>
              <w:top w:val="single" w:color="000000" w:sz="4" w:space="0"/>
              <w:left w:val="single" w:color="000000" w:sz="4" w:space="0"/>
              <w:bottom w:val="single" w:color="000000" w:sz="4" w:space="0"/>
              <w:right w:val="single" w:color="000000" w:sz="4" w:space="0"/>
            </w:tcBorders>
            <w:vAlign w:val="center"/>
          </w:tcPr>
          <w:p w14:paraId="2A3E209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首次按要求彻底清洗并消毒处理，后一次对滤网进行清洗。（完成清洗后提供二次检测报告）</w:t>
            </w:r>
          </w:p>
        </w:tc>
      </w:tr>
      <w:tr w14:paraId="404A5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top w:val="single" w:color="000000" w:sz="4" w:space="0"/>
              <w:left w:val="single" w:color="000000" w:sz="4" w:space="0"/>
              <w:bottom w:val="single" w:color="000000" w:sz="4" w:space="0"/>
              <w:right w:val="single" w:color="000000" w:sz="4" w:space="0"/>
            </w:tcBorders>
            <w:vAlign w:val="center"/>
          </w:tcPr>
          <w:p w14:paraId="2437CF66">
            <w:pPr>
              <w:jc w:val="center"/>
              <w:rPr>
                <w:rFonts w:hint="eastAsia" w:ascii="仿宋" w:hAnsi="仿宋" w:eastAsia="仿宋" w:cs="仿宋"/>
                <w:i w:val="0"/>
                <w:iCs w:val="0"/>
                <w:color w:val="auto"/>
                <w:sz w:val="24"/>
                <w:szCs w:val="24"/>
                <w:u w:val="none"/>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4E3B7D5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康复楼</w:t>
            </w:r>
          </w:p>
        </w:tc>
        <w:tc>
          <w:tcPr>
            <w:tcW w:w="1584" w:type="dxa"/>
            <w:tcBorders>
              <w:top w:val="single" w:color="000000" w:sz="4" w:space="0"/>
              <w:left w:val="single" w:color="000000" w:sz="4" w:space="0"/>
              <w:bottom w:val="single" w:color="000000" w:sz="4" w:space="0"/>
              <w:right w:val="single" w:color="000000" w:sz="4" w:space="0"/>
            </w:tcBorders>
            <w:vAlign w:val="center"/>
          </w:tcPr>
          <w:p w14:paraId="3974DBDE">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40台</w:t>
            </w:r>
          </w:p>
        </w:tc>
        <w:tc>
          <w:tcPr>
            <w:tcW w:w="3714" w:type="dxa"/>
            <w:vMerge w:val="continue"/>
            <w:tcBorders>
              <w:top w:val="single" w:color="000000" w:sz="4" w:space="0"/>
              <w:left w:val="single" w:color="000000" w:sz="4" w:space="0"/>
              <w:bottom w:val="single" w:color="000000" w:sz="4" w:space="0"/>
              <w:right w:val="single" w:color="000000" w:sz="4" w:space="0"/>
            </w:tcBorders>
            <w:vAlign w:val="center"/>
          </w:tcPr>
          <w:p w14:paraId="32A5CC7E">
            <w:pPr>
              <w:jc w:val="center"/>
              <w:rPr>
                <w:rFonts w:hint="eastAsia" w:ascii="仿宋" w:hAnsi="仿宋" w:eastAsia="仿宋" w:cs="仿宋"/>
                <w:i w:val="0"/>
                <w:iCs w:val="0"/>
                <w:color w:val="auto"/>
                <w:sz w:val="24"/>
                <w:szCs w:val="24"/>
                <w:u w:val="none"/>
              </w:rPr>
            </w:pPr>
          </w:p>
        </w:tc>
      </w:tr>
      <w:tr w14:paraId="2086A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top w:val="single" w:color="000000" w:sz="4" w:space="0"/>
              <w:left w:val="single" w:color="000000" w:sz="4" w:space="0"/>
              <w:bottom w:val="single" w:color="000000" w:sz="4" w:space="0"/>
              <w:right w:val="single" w:color="000000" w:sz="4" w:space="0"/>
            </w:tcBorders>
            <w:vAlign w:val="center"/>
          </w:tcPr>
          <w:p w14:paraId="7C4DB659">
            <w:pPr>
              <w:jc w:val="center"/>
              <w:rPr>
                <w:rFonts w:hint="eastAsia" w:ascii="仿宋" w:hAnsi="仿宋" w:eastAsia="仿宋" w:cs="仿宋"/>
                <w:i w:val="0"/>
                <w:iCs w:val="0"/>
                <w:color w:val="auto"/>
                <w:sz w:val="24"/>
                <w:szCs w:val="24"/>
                <w:u w:val="none"/>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23033940">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感染楼</w:t>
            </w:r>
          </w:p>
        </w:tc>
        <w:tc>
          <w:tcPr>
            <w:tcW w:w="1584" w:type="dxa"/>
            <w:tcBorders>
              <w:top w:val="single" w:color="000000" w:sz="4" w:space="0"/>
              <w:left w:val="single" w:color="000000" w:sz="4" w:space="0"/>
              <w:bottom w:val="single" w:color="000000" w:sz="4" w:space="0"/>
              <w:right w:val="single" w:color="000000" w:sz="4" w:space="0"/>
            </w:tcBorders>
            <w:vAlign w:val="center"/>
          </w:tcPr>
          <w:p w14:paraId="14C39DC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242台</w:t>
            </w:r>
          </w:p>
        </w:tc>
        <w:tc>
          <w:tcPr>
            <w:tcW w:w="3714" w:type="dxa"/>
            <w:vMerge w:val="continue"/>
            <w:tcBorders>
              <w:top w:val="single" w:color="000000" w:sz="4" w:space="0"/>
              <w:left w:val="single" w:color="000000" w:sz="4" w:space="0"/>
              <w:bottom w:val="single" w:color="000000" w:sz="4" w:space="0"/>
              <w:right w:val="single" w:color="000000" w:sz="4" w:space="0"/>
            </w:tcBorders>
            <w:vAlign w:val="center"/>
          </w:tcPr>
          <w:p w14:paraId="353CE5D0">
            <w:pPr>
              <w:jc w:val="center"/>
              <w:rPr>
                <w:rFonts w:hint="eastAsia" w:ascii="仿宋" w:hAnsi="仿宋" w:eastAsia="仿宋" w:cs="仿宋"/>
                <w:i w:val="0"/>
                <w:iCs w:val="0"/>
                <w:color w:val="auto"/>
                <w:sz w:val="24"/>
                <w:szCs w:val="24"/>
                <w:u w:val="none"/>
              </w:rPr>
            </w:pPr>
          </w:p>
        </w:tc>
      </w:tr>
      <w:tr w14:paraId="47D98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2270" w:type="dxa"/>
            <w:tcBorders>
              <w:top w:val="single" w:color="000000" w:sz="4" w:space="0"/>
              <w:left w:val="single" w:color="000000" w:sz="4" w:space="0"/>
              <w:bottom w:val="single" w:color="000000" w:sz="4" w:space="0"/>
              <w:right w:val="single" w:color="000000" w:sz="4" w:space="0"/>
            </w:tcBorders>
            <w:vAlign w:val="center"/>
          </w:tcPr>
          <w:p w14:paraId="6E2B49AA">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分体式（53台）</w:t>
            </w:r>
          </w:p>
        </w:tc>
        <w:tc>
          <w:tcPr>
            <w:tcW w:w="1270" w:type="dxa"/>
            <w:tcBorders>
              <w:top w:val="single" w:color="000000" w:sz="4" w:space="0"/>
              <w:left w:val="single" w:color="000000" w:sz="4" w:space="0"/>
              <w:bottom w:val="single" w:color="000000" w:sz="4" w:space="0"/>
              <w:right w:val="single" w:color="000000" w:sz="4" w:space="0"/>
            </w:tcBorders>
            <w:vAlign w:val="center"/>
          </w:tcPr>
          <w:p w14:paraId="4E9438B9">
            <w:pPr>
              <w:jc w:val="center"/>
              <w:rPr>
                <w:rFonts w:hint="eastAsia" w:ascii="仿宋" w:hAnsi="仿宋" w:eastAsia="仿宋" w:cs="仿宋"/>
                <w:i w:val="0"/>
                <w:iCs w:val="0"/>
                <w:color w:val="auto"/>
                <w:sz w:val="24"/>
                <w:szCs w:val="24"/>
                <w:u w:val="none"/>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67B85D8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53台</w:t>
            </w:r>
          </w:p>
        </w:tc>
        <w:tc>
          <w:tcPr>
            <w:tcW w:w="3714" w:type="dxa"/>
            <w:tcBorders>
              <w:top w:val="single" w:color="000000" w:sz="4" w:space="0"/>
              <w:left w:val="single" w:color="000000" w:sz="4" w:space="0"/>
              <w:bottom w:val="single" w:color="000000" w:sz="4" w:space="0"/>
              <w:right w:val="single" w:color="000000" w:sz="4" w:space="0"/>
            </w:tcBorders>
            <w:vAlign w:val="center"/>
          </w:tcPr>
          <w:p w14:paraId="6C605B0F">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首次对按要求彻底清洗并消毒处理，后一次对滤网进行清洗</w:t>
            </w:r>
          </w:p>
        </w:tc>
      </w:tr>
      <w:tr w14:paraId="476D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2270" w:type="dxa"/>
            <w:tcBorders>
              <w:top w:val="single" w:color="000000" w:sz="4" w:space="0"/>
              <w:left w:val="single" w:color="000000" w:sz="4" w:space="0"/>
              <w:bottom w:val="single" w:color="000000" w:sz="4" w:space="0"/>
              <w:right w:val="single" w:color="000000" w:sz="4" w:space="0"/>
            </w:tcBorders>
            <w:vAlign w:val="center"/>
          </w:tcPr>
          <w:p w14:paraId="6D5100B7">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冷却塔（7只）</w:t>
            </w:r>
          </w:p>
        </w:tc>
        <w:tc>
          <w:tcPr>
            <w:tcW w:w="1270" w:type="dxa"/>
            <w:tcBorders>
              <w:top w:val="single" w:color="000000" w:sz="4" w:space="0"/>
              <w:left w:val="single" w:color="000000" w:sz="4" w:space="0"/>
              <w:bottom w:val="single" w:color="000000" w:sz="4" w:space="0"/>
              <w:right w:val="single" w:color="000000" w:sz="4" w:space="0"/>
            </w:tcBorders>
            <w:vAlign w:val="center"/>
          </w:tcPr>
          <w:p w14:paraId="24D7B1FF">
            <w:pPr>
              <w:jc w:val="center"/>
              <w:rPr>
                <w:rFonts w:hint="eastAsia" w:ascii="仿宋" w:hAnsi="仿宋" w:eastAsia="仿宋" w:cs="仿宋"/>
                <w:i w:val="0"/>
                <w:iCs w:val="0"/>
                <w:color w:val="auto"/>
                <w:sz w:val="24"/>
                <w:szCs w:val="24"/>
                <w:u w:val="none"/>
              </w:rPr>
            </w:pPr>
          </w:p>
        </w:tc>
        <w:tc>
          <w:tcPr>
            <w:tcW w:w="1584" w:type="dxa"/>
            <w:tcBorders>
              <w:top w:val="single" w:color="000000" w:sz="4" w:space="0"/>
              <w:left w:val="single" w:color="000000" w:sz="4" w:space="0"/>
              <w:bottom w:val="single" w:color="000000" w:sz="4" w:space="0"/>
              <w:right w:val="single" w:color="000000" w:sz="4" w:space="0"/>
            </w:tcBorders>
            <w:vAlign w:val="center"/>
          </w:tcPr>
          <w:p w14:paraId="3BFE6B18">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7只</w:t>
            </w:r>
          </w:p>
        </w:tc>
        <w:tc>
          <w:tcPr>
            <w:tcW w:w="3714" w:type="dxa"/>
            <w:tcBorders>
              <w:top w:val="single" w:color="000000" w:sz="4" w:space="0"/>
              <w:left w:val="single" w:color="000000" w:sz="4" w:space="0"/>
              <w:bottom w:val="single" w:color="000000" w:sz="4" w:space="0"/>
              <w:right w:val="single" w:color="000000" w:sz="4" w:space="0"/>
            </w:tcBorders>
            <w:vAlign w:val="center"/>
          </w:tcPr>
          <w:p w14:paraId="7B883D2D">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rPr>
              <w:t>按要求进行清洗消毒一次，完成清洗后提供一次嗜肺军团菌合格检测报告。</w:t>
            </w:r>
          </w:p>
        </w:tc>
      </w:tr>
      <w:tr w14:paraId="3BFE6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restart"/>
            <w:tcBorders>
              <w:top w:val="single" w:color="000000" w:sz="4" w:space="0"/>
              <w:left w:val="single" w:color="000000" w:sz="4" w:space="0"/>
              <w:right w:val="single" w:color="000000" w:sz="4" w:space="0"/>
            </w:tcBorders>
            <w:vAlign w:val="center"/>
          </w:tcPr>
          <w:p w14:paraId="39A353BF">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r>
              <w:rPr>
                <w:rFonts w:hint="eastAsia" w:ascii="仿宋" w:hAnsi="仿宋" w:eastAsia="仿宋" w:cs="仿宋"/>
                <w:i w:val="0"/>
                <w:iCs w:val="0"/>
                <w:color w:val="auto"/>
                <w:kern w:val="0"/>
                <w:sz w:val="24"/>
                <w:szCs w:val="24"/>
                <w:u w:val="none"/>
                <w:lang w:val="en-US" w:eastAsia="zh-CN"/>
              </w:rPr>
              <w:t>冷水生活水箱（6只）</w:t>
            </w:r>
          </w:p>
        </w:tc>
        <w:tc>
          <w:tcPr>
            <w:tcW w:w="1270" w:type="dxa"/>
            <w:tcBorders>
              <w:top w:val="single" w:color="000000" w:sz="4" w:space="0"/>
              <w:left w:val="single" w:color="000000" w:sz="4" w:space="0"/>
              <w:bottom w:val="single" w:color="000000" w:sz="4" w:space="0"/>
              <w:right w:val="single" w:color="000000" w:sz="4" w:space="0"/>
            </w:tcBorders>
            <w:vAlign w:val="center"/>
          </w:tcPr>
          <w:p w14:paraId="5817A03E">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45立方米</w:t>
            </w:r>
          </w:p>
        </w:tc>
        <w:tc>
          <w:tcPr>
            <w:tcW w:w="1584" w:type="dxa"/>
            <w:tcBorders>
              <w:top w:val="single" w:color="000000" w:sz="4" w:space="0"/>
              <w:left w:val="single" w:color="000000" w:sz="4" w:space="0"/>
              <w:bottom w:val="single" w:color="000000" w:sz="4" w:space="0"/>
              <w:right w:val="single" w:color="000000" w:sz="4" w:space="0"/>
            </w:tcBorders>
            <w:vAlign w:val="center"/>
          </w:tcPr>
          <w:p w14:paraId="2FC0C0FE">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2只</w:t>
            </w:r>
          </w:p>
        </w:tc>
        <w:tc>
          <w:tcPr>
            <w:tcW w:w="3714" w:type="dxa"/>
            <w:vMerge w:val="restart"/>
            <w:tcBorders>
              <w:top w:val="single" w:color="000000" w:sz="4" w:space="0"/>
              <w:left w:val="single" w:color="000000" w:sz="4" w:space="0"/>
              <w:right w:val="single" w:color="000000" w:sz="4" w:space="0"/>
            </w:tcBorders>
            <w:vAlign w:val="center"/>
          </w:tcPr>
          <w:p w14:paraId="1740BDB6">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r>
              <w:rPr>
                <w:rFonts w:hint="eastAsia" w:ascii="仿宋" w:hAnsi="仿宋" w:eastAsia="仿宋" w:cs="仿宋"/>
                <w:i w:val="0"/>
                <w:iCs w:val="0"/>
                <w:color w:val="auto"/>
                <w:kern w:val="0"/>
                <w:sz w:val="24"/>
                <w:szCs w:val="24"/>
                <w:u w:val="none"/>
                <w:lang w:val="en-US" w:eastAsia="zh-CN"/>
              </w:rPr>
              <w:t>使用二氧化氯消毒粉清洗2次/年，清洗后符合绍兴市二次供水卫生要求，完成清洗后提供第三方出具二次供水合格检测报告。</w:t>
            </w:r>
          </w:p>
        </w:tc>
      </w:tr>
      <w:tr w14:paraId="69153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left w:val="single" w:color="000000" w:sz="4" w:space="0"/>
              <w:right w:val="single" w:color="000000" w:sz="4" w:space="0"/>
            </w:tcBorders>
            <w:vAlign w:val="center"/>
          </w:tcPr>
          <w:p w14:paraId="5E734872">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5EFF21F0">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48立方米</w:t>
            </w:r>
          </w:p>
        </w:tc>
        <w:tc>
          <w:tcPr>
            <w:tcW w:w="1584" w:type="dxa"/>
            <w:tcBorders>
              <w:top w:val="single" w:color="000000" w:sz="4" w:space="0"/>
              <w:left w:val="single" w:color="000000" w:sz="4" w:space="0"/>
              <w:bottom w:val="single" w:color="000000" w:sz="4" w:space="0"/>
              <w:right w:val="single" w:color="000000" w:sz="4" w:space="0"/>
            </w:tcBorders>
            <w:vAlign w:val="center"/>
          </w:tcPr>
          <w:p w14:paraId="62D81BEA">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1只</w:t>
            </w:r>
          </w:p>
        </w:tc>
        <w:tc>
          <w:tcPr>
            <w:tcW w:w="3714" w:type="dxa"/>
            <w:vMerge w:val="continue"/>
            <w:tcBorders>
              <w:left w:val="single" w:color="000000" w:sz="4" w:space="0"/>
              <w:right w:val="single" w:color="000000" w:sz="4" w:space="0"/>
            </w:tcBorders>
            <w:vAlign w:val="center"/>
          </w:tcPr>
          <w:p w14:paraId="0A7E7D03">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r>
      <w:tr w14:paraId="167FF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left w:val="single" w:color="000000" w:sz="4" w:space="0"/>
              <w:right w:val="single" w:color="000000" w:sz="4" w:space="0"/>
            </w:tcBorders>
            <w:vAlign w:val="center"/>
          </w:tcPr>
          <w:p w14:paraId="68422A68">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055BF859">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10立方米</w:t>
            </w:r>
          </w:p>
        </w:tc>
        <w:tc>
          <w:tcPr>
            <w:tcW w:w="1584" w:type="dxa"/>
            <w:tcBorders>
              <w:top w:val="single" w:color="000000" w:sz="4" w:space="0"/>
              <w:left w:val="single" w:color="000000" w:sz="4" w:space="0"/>
              <w:bottom w:val="single" w:color="000000" w:sz="4" w:space="0"/>
              <w:right w:val="single" w:color="000000" w:sz="4" w:space="0"/>
            </w:tcBorders>
            <w:vAlign w:val="center"/>
          </w:tcPr>
          <w:p w14:paraId="33398BB3">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1只</w:t>
            </w:r>
          </w:p>
        </w:tc>
        <w:tc>
          <w:tcPr>
            <w:tcW w:w="3714" w:type="dxa"/>
            <w:vMerge w:val="continue"/>
            <w:tcBorders>
              <w:left w:val="single" w:color="000000" w:sz="4" w:space="0"/>
              <w:right w:val="single" w:color="000000" w:sz="4" w:space="0"/>
            </w:tcBorders>
            <w:vAlign w:val="center"/>
          </w:tcPr>
          <w:p w14:paraId="01C9B007">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r>
      <w:tr w14:paraId="5C226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continue"/>
            <w:tcBorders>
              <w:left w:val="single" w:color="000000" w:sz="4" w:space="0"/>
              <w:right w:val="single" w:color="000000" w:sz="4" w:space="0"/>
            </w:tcBorders>
            <w:vAlign w:val="center"/>
          </w:tcPr>
          <w:p w14:paraId="226C11EA">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2EBB3ECB">
            <w:pPr>
              <w:keepNext w:val="0"/>
              <w:keepLines w:val="0"/>
              <w:widowControl/>
              <w:suppressLineNumbers w:val="0"/>
              <w:jc w:val="center"/>
              <w:textAlignment w:val="center"/>
              <w:rPr>
                <w:rFonts w:hint="default"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173立方米</w:t>
            </w:r>
          </w:p>
        </w:tc>
        <w:tc>
          <w:tcPr>
            <w:tcW w:w="1584" w:type="dxa"/>
            <w:tcBorders>
              <w:top w:val="single" w:color="000000" w:sz="4" w:space="0"/>
              <w:left w:val="single" w:color="000000" w:sz="4" w:space="0"/>
              <w:bottom w:val="single" w:color="000000" w:sz="4" w:space="0"/>
              <w:right w:val="single" w:color="000000" w:sz="4" w:space="0"/>
            </w:tcBorders>
            <w:vAlign w:val="center"/>
          </w:tcPr>
          <w:p w14:paraId="787402A1">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1只</w:t>
            </w:r>
          </w:p>
        </w:tc>
        <w:tc>
          <w:tcPr>
            <w:tcW w:w="3714" w:type="dxa"/>
            <w:vMerge w:val="continue"/>
            <w:tcBorders>
              <w:left w:val="single" w:color="000000" w:sz="4" w:space="0"/>
              <w:right w:val="single" w:color="000000" w:sz="4" w:space="0"/>
            </w:tcBorders>
            <w:vAlign w:val="center"/>
          </w:tcPr>
          <w:p w14:paraId="66FD6E6D">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r>
      <w:tr w14:paraId="138D4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2270" w:type="dxa"/>
            <w:vMerge w:val="continue"/>
            <w:tcBorders>
              <w:left w:val="single" w:color="000000" w:sz="4" w:space="0"/>
              <w:bottom w:val="single" w:color="000000" w:sz="4" w:space="0"/>
              <w:right w:val="single" w:color="000000" w:sz="4" w:space="0"/>
            </w:tcBorders>
            <w:vAlign w:val="center"/>
          </w:tcPr>
          <w:p w14:paraId="1AA6F6F1">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6D6BF1D3">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163立方米</w:t>
            </w:r>
          </w:p>
        </w:tc>
        <w:tc>
          <w:tcPr>
            <w:tcW w:w="1584" w:type="dxa"/>
            <w:tcBorders>
              <w:top w:val="single" w:color="000000" w:sz="4" w:space="0"/>
              <w:left w:val="single" w:color="000000" w:sz="4" w:space="0"/>
              <w:bottom w:val="single" w:color="000000" w:sz="4" w:space="0"/>
              <w:right w:val="single" w:color="000000" w:sz="4" w:space="0"/>
            </w:tcBorders>
            <w:vAlign w:val="center"/>
          </w:tcPr>
          <w:p w14:paraId="73996579">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1只</w:t>
            </w:r>
          </w:p>
        </w:tc>
        <w:tc>
          <w:tcPr>
            <w:tcW w:w="3714" w:type="dxa"/>
            <w:vMerge w:val="continue"/>
            <w:tcBorders>
              <w:left w:val="single" w:color="000000" w:sz="4" w:space="0"/>
              <w:bottom w:val="single" w:color="000000" w:sz="4" w:space="0"/>
              <w:right w:val="single" w:color="000000" w:sz="4" w:space="0"/>
            </w:tcBorders>
            <w:vAlign w:val="center"/>
          </w:tcPr>
          <w:p w14:paraId="2EE323C5">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r>
      <w:tr w14:paraId="5D97A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2270" w:type="dxa"/>
            <w:vMerge w:val="restart"/>
            <w:tcBorders>
              <w:top w:val="single" w:color="000000" w:sz="4" w:space="0"/>
              <w:left w:val="single" w:color="000000" w:sz="4" w:space="0"/>
              <w:right w:val="single" w:color="000000" w:sz="4" w:space="0"/>
            </w:tcBorders>
            <w:vAlign w:val="center"/>
          </w:tcPr>
          <w:p w14:paraId="72D0FFA9">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r>
              <w:rPr>
                <w:rFonts w:hint="eastAsia" w:ascii="仿宋" w:hAnsi="仿宋" w:eastAsia="仿宋" w:cs="仿宋"/>
                <w:i w:val="0"/>
                <w:iCs w:val="0"/>
                <w:color w:val="auto"/>
                <w:kern w:val="0"/>
                <w:sz w:val="24"/>
                <w:szCs w:val="24"/>
                <w:u w:val="none"/>
                <w:lang w:val="en-US" w:eastAsia="zh-CN"/>
              </w:rPr>
              <w:t>热水生活水箱（4只）</w:t>
            </w:r>
          </w:p>
        </w:tc>
        <w:tc>
          <w:tcPr>
            <w:tcW w:w="1270" w:type="dxa"/>
            <w:tcBorders>
              <w:top w:val="single" w:color="000000" w:sz="4" w:space="0"/>
              <w:left w:val="single" w:color="000000" w:sz="4" w:space="0"/>
              <w:bottom w:val="single" w:color="000000" w:sz="4" w:space="0"/>
              <w:right w:val="single" w:color="000000" w:sz="4" w:space="0"/>
            </w:tcBorders>
            <w:vAlign w:val="center"/>
          </w:tcPr>
          <w:p w14:paraId="592F2255">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30立方米</w:t>
            </w:r>
          </w:p>
        </w:tc>
        <w:tc>
          <w:tcPr>
            <w:tcW w:w="1584" w:type="dxa"/>
            <w:tcBorders>
              <w:top w:val="single" w:color="000000" w:sz="4" w:space="0"/>
              <w:left w:val="single" w:color="000000" w:sz="4" w:space="0"/>
              <w:bottom w:val="single" w:color="000000" w:sz="4" w:space="0"/>
              <w:right w:val="single" w:color="000000" w:sz="4" w:space="0"/>
            </w:tcBorders>
            <w:vAlign w:val="center"/>
          </w:tcPr>
          <w:p w14:paraId="24C12C86">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3只</w:t>
            </w:r>
          </w:p>
        </w:tc>
        <w:tc>
          <w:tcPr>
            <w:tcW w:w="3714" w:type="dxa"/>
            <w:vMerge w:val="restart"/>
            <w:tcBorders>
              <w:top w:val="single" w:color="000000" w:sz="4" w:space="0"/>
              <w:left w:val="single" w:color="000000" w:sz="4" w:space="0"/>
              <w:right w:val="single" w:color="000000" w:sz="4" w:space="0"/>
            </w:tcBorders>
            <w:vAlign w:val="center"/>
          </w:tcPr>
          <w:p w14:paraId="44F73757">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r>
              <w:rPr>
                <w:rFonts w:hint="eastAsia" w:ascii="仿宋" w:hAnsi="仿宋" w:eastAsia="仿宋" w:cs="仿宋"/>
                <w:i w:val="0"/>
                <w:iCs w:val="0"/>
                <w:color w:val="auto"/>
                <w:kern w:val="0"/>
                <w:sz w:val="24"/>
                <w:szCs w:val="24"/>
                <w:u w:val="none"/>
                <w:lang w:val="en-US" w:eastAsia="zh-CN"/>
              </w:rPr>
              <w:t>使用二氧化氯消毒粉清洗1次/年，清洗后符合绍兴市二次供水卫生要求，完成清洗后提供第三方出具二次供水合格检测报告。</w:t>
            </w:r>
          </w:p>
        </w:tc>
      </w:tr>
      <w:tr w14:paraId="7A95D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trPr>
        <w:tc>
          <w:tcPr>
            <w:tcW w:w="2270" w:type="dxa"/>
            <w:vMerge w:val="continue"/>
            <w:tcBorders>
              <w:left w:val="single" w:color="000000" w:sz="4" w:space="0"/>
              <w:bottom w:val="single" w:color="000000" w:sz="4" w:space="0"/>
              <w:right w:val="single" w:color="000000" w:sz="4" w:space="0"/>
            </w:tcBorders>
            <w:vAlign w:val="center"/>
          </w:tcPr>
          <w:p w14:paraId="28949CEB">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vAlign w:val="center"/>
          </w:tcPr>
          <w:p w14:paraId="7DD18C7A">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9立方米</w:t>
            </w:r>
          </w:p>
        </w:tc>
        <w:tc>
          <w:tcPr>
            <w:tcW w:w="1584" w:type="dxa"/>
            <w:tcBorders>
              <w:top w:val="single" w:color="000000" w:sz="4" w:space="0"/>
              <w:left w:val="single" w:color="000000" w:sz="4" w:space="0"/>
              <w:bottom w:val="single" w:color="000000" w:sz="4" w:space="0"/>
              <w:right w:val="single" w:color="000000" w:sz="4" w:space="0"/>
            </w:tcBorders>
            <w:vAlign w:val="center"/>
          </w:tcPr>
          <w:p w14:paraId="0ECD22AF">
            <w:pPr>
              <w:keepNext w:val="0"/>
              <w:keepLines w:val="0"/>
              <w:widowControl/>
              <w:suppressLineNumbers w:val="0"/>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none"/>
                <w:lang w:val="en-US" w:eastAsia="zh-CN"/>
              </w:rPr>
              <w:t>1只</w:t>
            </w:r>
          </w:p>
        </w:tc>
        <w:tc>
          <w:tcPr>
            <w:tcW w:w="3714" w:type="dxa"/>
            <w:vMerge w:val="continue"/>
            <w:tcBorders>
              <w:left w:val="single" w:color="000000" w:sz="4" w:space="0"/>
              <w:bottom w:val="single" w:color="000000" w:sz="4" w:space="0"/>
              <w:right w:val="single" w:color="000000" w:sz="4" w:space="0"/>
            </w:tcBorders>
            <w:vAlign w:val="center"/>
          </w:tcPr>
          <w:p w14:paraId="7E0E3332">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rPr>
            </w:pPr>
          </w:p>
        </w:tc>
      </w:tr>
    </w:tbl>
    <w:p w14:paraId="1D4E15AC">
      <w:pPr>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ascii="仿宋" w:eastAsia="仿宋"/>
          <w:color w:val="auto"/>
          <w:sz w:val="24"/>
          <w:highlight w:val="none"/>
        </w:rPr>
      </w:pPr>
      <w:r>
        <w:rPr>
          <w:rFonts w:hint="eastAsia" w:ascii="仿宋" w:hAnsi="Times New Roman" w:eastAsia="仿宋" w:cs="Times New Roman"/>
          <w:color w:val="auto"/>
          <w:sz w:val="24"/>
          <w:highlight w:val="none"/>
          <w:lang w:val="en-US" w:eastAsia="zh-CN"/>
        </w:rPr>
        <w:t>注：1）按实际数量结算；</w:t>
      </w:r>
    </w:p>
    <w:p w14:paraId="4105D092">
      <w:pPr>
        <w:keepNext w:val="0"/>
        <w:keepLines w:val="0"/>
        <w:pageBreakBefore w:val="0"/>
        <w:widowControl/>
        <w:kinsoku/>
        <w:wordWrap/>
        <w:overflowPunct/>
        <w:topLinePunct w:val="0"/>
        <w:autoSpaceDE/>
        <w:autoSpaceDN/>
        <w:bidi w:val="0"/>
        <w:adjustRightInd w:val="0"/>
        <w:snapToGrid w:val="0"/>
        <w:spacing w:line="480" w:lineRule="exact"/>
        <w:ind w:firstLine="960" w:firstLineChars="400"/>
        <w:textAlignment w:val="auto"/>
        <w:rPr>
          <w:rFonts w:hint="eastAsia" w:ascii="宋体" w:hAnsi="宋体" w:eastAsia="宋体" w:cs="宋体"/>
          <w:color w:val="auto"/>
          <w:kern w:val="0"/>
          <w:sz w:val="24"/>
          <w:szCs w:val="24"/>
          <w:highlight w:val="none"/>
        </w:rPr>
      </w:pPr>
      <w:r>
        <w:rPr>
          <w:rFonts w:hint="eastAsia" w:ascii="仿宋" w:hAnsi="Times New Roman" w:eastAsia="仿宋" w:cs="Times New Roman"/>
          <w:color w:val="auto"/>
          <w:sz w:val="24"/>
          <w:highlight w:val="none"/>
          <w:lang w:val="en-US" w:eastAsia="zh-CN"/>
        </w:rPr>
        <w:t>2）集中空调系统清洗、消毒后7日内，由绍兴市疾控部门按照有关卫生要求进行检验；冷却塔清洗完成后需提供有资质的第三方检测的嗜肺军团菌合格检测报告；生活水箱清洗后符合绍兴市二次供水卫生要求，</w:t>
      </w:r>
      <w:r>
        <w:rPr>
          <w:rFonts w:hint="eastAsia" w:ascii="仿宋" w:hAnsi="仿宋" w:eastAsia="仿宋" w:cs="仿宋"/>
          <w:i w:val="0"/>
          <w:iCs w:val="0"/>
          <w:color w:val="auto"/>
          <w:kern w:val="0"/>
          <w:sz w:val="24"/>
          <w:szCs w:val="24"/>
          <w:u w:val="none"/>
          <w:lang w:val="en-US" w:eastAsia="zh-CN"/>
        </w:rPr>
        <w:t>完成清洗后提供</w:t>
      </w:r>
      <w:r>
        <w:rPr>
          <w:rFonts w:hint="eastAsia" w:ascii="仿宋" w:hAnsi="Times New Roman" w:eastAsia="仿宋" w:cs="Times New Roman"/>
          <w:color w:val="auto"/>
          <w:sz w:val="24"/>
          <w:highlight w:val="none"/>
          <w:lang w:val="en-US" w:eastAsia="zh-CN"/>
        </w:rPr>
        <w:t>水箱水及二次供水检测报告。</w:t>
      </w:r>
    </w:p>
    <w:p w14:paraId="2DA9408D">
      <w:pPr>
        <w:spacing w:line="336" w:lineRule="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1.1</w:t>
      </w:r>
      <w:r>
        <w:rPr>
          <w:rFonts w:hint="eastAsia" w:ascii="仿宋" w:hAnsi="仿宋" w:eastAsia="仿宋" w:cs="仿宋"/>
          <w:b/>
          <w:color w:val="auto"/>
          <w:sz w:val="24"/>
          <w:szCs w:val="24"/>
        </w:rPr>
        <w:t>、</w:t>
      </w:r>
      <w:bookmarkStart w:id="0" w:name="_Toc27596"/>
      <w:r>
        <w:rPr>
          <w:rFonts w:hint="eastAsia" w:ascii="仿宋" w:hAnsi="仿宋" w:eastAsia="仿宋" w:cs="仿宋"/>
          <w:b/>
          <w:color w:val="auto"/>
          <w:sz w:val="24"/>
          <w:szCs w:val="24"/>
        </w:rPr>
        <w:t>清洗总体质量及技术要求</w:t>
      </w:r>
      <w:bookmarkEnd w:id="0"/>
    </w:p>
    <w:p w14:paraId="1D3437D1">
      <w:pPr>
        <w:snapToGrid w:val="0"/>
        <w:spacing w:line="360" w:lineRule="auto"/>
        <w:rPr>
          <w:rFonts w:hint="eastAsia" w:ascii="仿宋" w:hAnsi="仿宋" w:eastAsia="仿宋" w:cs="宋体"/>
          <w:bCs/>
          <w:snapToGrid w:val="0"/>
          <w:color w:val="auto"/>
          <w:sz w:val="24"/>
          <w:szCs w:val="24"/>
        </w:rPr>
      </w:pPr>
      <w:r>
        <w:rPr>
          <w:rFonts w:hint="eastAsia" w:ascii="仿宋" w:hAnsi="仿宋" w:eastAsia="仿宋" w:cs="宋体"/>
          <w:bCs/>
          <w:snapToGrid w:val="0"/>
          <w:color w:val="auto"/>
          <w:sz w:val="24"/>
          <w:szCs w:val="24"/>
          <w:lang w:val="en-US" w:eastAsia="zh-CN"/>
        </w:rPr>
        <w:t>1.1</w:t>
      </w:r>
      <w:r>
        <w:rPr>
          <w:rFonts w:hint="eastAsia" w:ascii="仿宋" w:hAnsi="仿宋" w:eastAsia="仿宋" w:cs="宋体"/>
          <w:bCs/>
          <w:snapToGrid w:val="0"/>
          <w:color w:val="auto"/>
          <w:sz w:val="24"/>
          <w:szCs w:val="24"/>
        </w:rPr>
        <w:t>.1验收风道清洗效果目前大多采用卫生空调清洗规范检测中的目测法：用清洗设备中的摄像监控系统对清洗过程的风道实行监控录像，以目测形式直接检测风道清洗效果。当内表面没有碎片和非粘合物质时，可以认为达到了视觉清洁。</w:t>
      </w:r>
    </w:p>
    <w:p w14:paraId="59E88EA8">
      <w:pPr>
        <w:snapToGrid w:val="0"/>
        <w:spacing w:line="360" w:lineRule="auto"/>
        <w:rPr>
          <w:rFonts w:hint="eastAsia" w:ascii="仿宋" w:hAnsi="仿宋" w:eastAsia="仿宋" w:cs="宋体"/>
          <w:bCs/>
          <w:snapToGrid w:val="0"/>
          <w:color w:val="auto"/>
          <w:sz w:val="24"/>
          <w:szCs w:val="24"/>
        </w:rPr>
      </w:pPr>
      <w:r>
        <w:rPr>
          <w:rFonts w:hint="eastAsia" w:ascii="仿宋" w:hAnsi="仿宋" w:eastAsia="仿宋" w:cs="宋体"/>
          <w:bCs/>
          <w:snapToGrid w:val="0"/>
          <w:color w:val="auto"/>
          <w:sz w:val="24"/>
          <w:szCs w:val="24"/>
          <w:lang w:val="en-US" w:eastAsia="zh-CN"/>
        </w:rPr>
        <w:t>1.1</w:t>
      </w:r>
      <w:r>
        <w:rPr>
          <w:rFonts w:hint="eastAsia" w:ascii="仿宋" w:hAnsi="仿宋" w:eastAsia="仿宋" w:cs="宋体"/>
          <w:bCs/>
          <w:snapToGrid w:val="0"/>
          <w:color w:val="auto"/>
          <w:sz w:val="24"/>
          <w:szCs w:val="24"/>
        </w:rPr>
        <w:t>.2</w:t>
      </w:r>
      <w:r>
        <w:rPr>
          <w:rFonts w:hint="eastAsia" w:ascii="仿宋" w:hAnsi="仿宋" w:eastAsia="仿宋" w:cs="仿宋"/>
          <w:b/>
          <w:bCs/>
          <w:color w:val="auto"/>
          <w:sz w:val="24"/>
          <w:szCs w:val="24"/>
          <w:highlight w:val="none"/>
          <w:lang w:eastAsia="zh-CN"/>
        </w:rPr>
        <w:t>工程质量必须符合</w:t>
      </w:r>
      <w:r>
        <w:rPr>
          <w:rFonts w:hint="eastAsia" w:ascii="仿宋" w:hAnsi="仿宋" w:eastAsia="仿宋" w:cs="宋体"/>
          <w:bCs/>
          <w:snapToGrid w:val="0"/>
          <w:sz w:val="24"/>
        </w:rPr>
        <w:t>国家卫生部文件《空调通风系统清洗规范》GB</w:t>
      </w:r>
      <w:r>
        <w:rPr>
          <w:rFonts w:hint="eastAsia" w:ascii="仿宋" w:hAnsi="仿宋" w:eastAsia="仿宋" w:cs="宋体"/>
          <w:bCs/>
          <w:snapToGrid w:val="0"/>
          <w:sz w:val="24"/>
          <w:lang w:val="en-US" w:eastAsia="zh-CN"/>
        </w:rPr>
        <w:t xml:space="preserve"> </w:t>
      </w:r>
      <w:r>
        <w:rPr>
          <w:rFonts w:hint="eastAsia" w:ascii="仿宋" w:hAnsi="仿宋" w:eastAsia="仿宋" w:cs="宋体"/>
          <w:bCs/>
          <w:snapToGrid w:val="0"/>
          <w:sz w:val="24"/>
        </w:rPr>
        <w:t>19210-2003</w:t>
      </w:r>
      <w:r>
        <w:rPr>
          <w:rFonts w:hint="eastAsia" w:ascii="仿宋" w:hAnsi="仿宋" w:eastAsia="仿宋" w:cs="宋体"/>
          <w:bCs/>
          <w:snapToGrid w:val="0"/>
          <w:sz w:val="24"/>
          <w:lang w:eastAsia="zh-CN"/>
        </w:rPr>
        <w:t>，</w:t>
      </w:r>
      <w:r>
        <w:rPr>
          <w:rFonts w:hint="eastAsia" w:ascii="仿宋" w:hAnsi="仿宋" w:eastAsia="仿宋" w:cs="仿宋"/>
          <w:b/>
          <w:bCs/>
          <w:color w:val="auto"/>
          <w:sz w:val="24"/>
          <w:szCs w:val="24"/>
          <w:highlight w:val="none"/>
          <w:lang w:eastAsia="zh-CN"/>
        </w:rPr>
        <w:t>国家疾病预防控制局</w:t>
      </w:r>
      <w:r>
        <w:rPr>
          <w:rFonts w:hint="eastAsia" w:ascii="仿宋" w:hAnsi="仿宋" w:eastAsia="仿宋" w:cs="仿宋"/>
          <w:b/>
          <w:bCs/>
          <w:color w:val="auto"/>
          <w:sz w:val="24"/>
          <w:szCs w:val="24"/>
          <w:highlight w:val="none"/>
          <w:lang w:val="en-US" w:eastAsia="zh-CN"/>
        </w:rPr>
        <w:t>2023年发布的</w:t>
      </w:r>
      <w:r>
        <w:rPr>
          <w:rFonts w:hint="eastAsia" w:ascii="仿宋" w:hAnsi="仿宋" w:eastAsia="仿宋" w:cs="仿宋"/>
          <w:b/>
          <w:bCs/>
          <w:color w:val="auto"/>
          <w:sz w:val="24"/>
          <w:szCs w:val="24"/>
          <w:highlight w:val="none"/>
        </w:rPr>
        <w:t>《公共场所集中空调通风系统卫生规范</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WS</w:t>
      </w:r>
      <w:r>
        <w:rPr>
          <w:rFonts w:hint="eastAsia" w:ascii="仿宋" w:hAnsi="仿宋" w:eastAsia="仿宋" w:cs="仿宋"/>
          <w:b/>
          <w:bCs/>
          <w:color w:val="auto"/>
          <w:sz w:val="24"/>
          <w:szCs w:val="24"/>
          <w:highlight w:val="none"/>
          <w:lang w:val="en-US" w:eastAsia="zh-CN"/>
        </w:rPr>
        <w:t xml:space="preserve"> 10013</w:t>
      </w:r>
      <w:r>
        <w:rPr>
          <w:rFonts w:hint="eastAsia" w:ascii="仿宋" w:hAnsi="仿宋" w:eastAsia="仿宋" w:cs="仿宋"/>
          <w:b/>
          <w:bCs/>
          <w:color w:val="auto"/>
          <w:sz w:val="24"/>
          <w:szCs w:val="24"/>
          <w:highlight w:val="none"/>
        </w:rPr>
        <w:t>-20</w:t>
      </w:r>
      <w:r>
        <w:rPr>
          <w:rFonts w:hint="eastAsia" w:ascii="仿宋" w:hAnsi="仿宋" w:eastAsia="仿宋" w:cs="仿宋"/>
          <w:b/>
          <w:bCs/>
          <w:color w:val="auto"/>
          <w:sz w:val="24"/>
          <w:szCs w:val="24"/>
          <w:highlight w:val="none"/>
          <w:lang w:val="en-US" w:eastAsia="zh-CN"/>
        </w:rPr>
        <w:t>23）</w:t>
      </w:r>
      <w:r>
        <w:rPr>
          <w:rFonts w:hint="eastAsia" w:ascii="仿宋" w:hAnsi="仿宋" w:eastAsia="仿宋" w:cs="仿宋"/>
          <w:b/>
          <w:bCs/>
          <w:color w:val="auto"/>
          <w:sz w:val="24"/>
          <w:szCs w:val="24"/>
          <w:highlight w:val="none"/>
        </w:rPr>
        <w:t>》，《公共场所集中空调通风系统卫生</w:t>
      </w:r>
      <w:r>
        <w:rPr>
          <w:rFonts w:hint="eastAsia" w:ascii="仿宋" w:hAnsi="仿宋" w:eastAsia="仿宋" w:cs="仿宋"/>
          <w:b/>
          <w:bCs/>
          <w:color w:val="auto"/>
          <w:sz w:val="24"/>
          <w:szCs w:val="24"/>
          <w:highlight w:val="none"/>
          <w:lang w:eastAsia="zh-CN"/>
        </w:rPr>
        <w:t>评价</w:t>
      </w:r>
      <w:r>
        <w:rPr>
          <w:rFonts w:hint="eastAsia" w:ascii="仿宋" w:hAnsi="仿宋" w:eastAsia="仿宋" w:cs="仿宋"/>
          <w:b/>
          <w:bCs/>
          <w:color w:val="auto"/>
          <w:sz w:val="24"/>
          <w:szCs w:val="24"/>
          <w:highlight w:val="none"/>
        </w:rPr>
        <w:t>规范</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WS</w:t>
      </w:r>
      <w:r>
        <w:rPr>
          <w:rFonts w:hint="eastAsia" w:ascii="仿宋" w:hAnsi="仿宋" w:eastAsia="仿宋" w:cs="仿宋"/>
          <w:b/>
          <w:bCs/>
          <w:color w:val="auto"/>
          <w:sz w:val="24"/>
          <w:szCs w:val="24"/>
          <w:highlight w:val="none"/>
          <w:lang w:val="en-US" w:eastAsia="zh-CN"/>
        </w:rPr>
        <w:t>/T 10004</w:t>
      </w:r>
      <w:r>
        <w:rPr>
          <w:rFonts w:hint="eastAsia" w:ascii="仿宋" w:hAnsi="仿宋" w:eastAsia="仿宋" w:cs="仿宋"/>
          <w:b/>
          <w:bCs/>
          <w:color w:val="auto"/>
          <w:sz w:val="24"/>
          <w:szCs w:val="24"/>
          <w:highlight w:val="none"/>
        </w:rPr>
        <w:t>-20</w:t>
      </w:r>
      <w:r>
        <w:rPr>
          <w:rFonts w:hint="eastAsia" w:ascii="仿宋" w:hAnsi="仿宋" w:eastAsia="仿宋" w:cs="仿宋"/>
          <w:b/>
          <w:bCs/>
          <w:color w:val="auto"/>
          <w:sz w:val="24"/>
          <w:szCs w:val="24"/>
          <w:highlight w:val="none"/>
          <w:lang w:val="en-US" w:eastAsia="zh-CN"/>
        </w:rPr>
        <w:t>23）</w:t>
      </w:r>
      <w:r>
        <w:rPr>
          <w:rFonts w:hint="eastAsia" w:ascii="仿宋" w:hAnsi="仿宋" w:eastAsia="仿宋" w:cs="仿宋"/>
          <w:b/>
          <w:bCs/>
          <w:color w:val="auto"/>
          <w:sz w:val="24"/>
          <w:szCs w:val="24"/>
          <w:highlight w:val="none"/>
        </w:rPr>
        <w:t>》，《公共场所集中空调通风系统清洗消毒规范</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WS/T</w:t>
      </w:r>
      <w:r>
        <w:rPr>
          <w:rFonts w:hint="eastAsia" w:ascii="仿宋" w:hAnsi="仿宋" w:eastAsia="仿宋" w:cs="仿宋"/>
          <w:b/>
          <w:bCs/>
          <w:color w:val="auto"/>
          <w:sz w:val="24"/>
          <w:szCs w:val="24"/>
          <w:highlight w:val="none"/>
          <w:lang w:val="en-US" w:eastAsia="zh-CN"/>
        </w:rPr>
        <w:t xml:space="preserve"> 10005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2023）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eastAsia="zh-CN"/>
        </w:rPr>
        <w:t>规范要求进行检测检验</w:t>
      </w:r>
      <w:r>
        <w:rPr>
          <w:rFonts w:hint="eastAsia" w:ascii="仿宋" w:hAnsi="仿宋" w:eastAsia="仿宋" w:cs="宋体"/>
          <w:bCs/>
          <w:snapToGrid w:val="0"/>
          <w:color w:val="auto"/>
          <w:sz w:val="24"/>
          <w:szCs w:val="24"/>
        </w:rPr>
        <w:t>。</w:t>
      </w:r>
    </w:p>
    <w:p w14:paraId="5B9288AB">
      <w:pPr>
        <w:snapToGrid w:val="0"/>
        <w:spacing w:line="360" w:lineRule="auto"/>
        <w:rPr>
          <w:rFonts w:hint="eastAsia" w:ascii="仿宋" w:hAnsi="仿宋" w:eastAsia="仿宋" w:cs="仿宋"/>
          <w:bCs/>
          <w:snapToGrid w:val="0"/>
          <w:color w:val="auto"/>
          <w:sz w:val="24"/>
          <w:szCs w:val="24"/>
        </w:rPr>
      </w:pPr>
      <w:r>
        <w:rPr>
          <w:rFonts w:hint="eastAsia" w:ascii="仿宋" w:hAnsi="仿宋" w:eastAsia="仿宋" w:cs="仿宋"/>
          <w:bCs/>
          <w:snapToGrid w:val="0"/>
          <w:color w:val="auto"/>
          <w:sz w:val="24"/>
          <w:szCs w:val="24"/>
          <w:lang w:val="en-US" w:eastAsia="zh-CN"/>
        </w:rPr>
        <w:t>1.1</w:t>
      </w:r>
      <w:r>
        <w:rPr>
          <w:rFonts w:hint="eastAsia" w:ascii="仿宋" w:hAnsi="仿宋" w:eastAsia="仿宋" w:cs="仿宋"/>
          <w:bCs/>
          <w:snapToGrid w:val="0"/>
          <w:color w:val="auto"/>
          <w:sz w:val="24"/>
          <w:szCs w:val="24"/>
        </w:rPr>
        <w:t>.3</w:t>
      </w:r>
      <w:r>
        <w:rPr>
          <w:rFonts w:hint="eastAsia" w:ascii="仿宋" w:hAnsi="仿宋" w:eastAsia="仿宋" w:cs="仿宋"/>
          <w:color w:val="auto"/>
          <w:sz w:val="24"/>
          <w:szCs w:val="24"/>
        </w:rPr>
        <w:t>清洗确认验收单分为《中央空调清洗区域验收单》和《中央空调清洗汇总验收单》两个验收内容；《中央空调清洗区域验收单》包含当班分段验收内容，需由采购人每日验收签字；《中央空调清洗总验收单》为全部清洗工程完成后，由采购人审核每天的区域清洗验收单及清洗现场后签署。</w:t>
      </w:r>
    </w:p>
    <w:p w14:paraId="32B988E4">
      <w:pPr>
        <w:pageBreakBefore w:val="0"/>
        <w:widowControl w:val="0"/>
        <w:shd w:val="solid" w:color="FFFFFF" w:fill="auto"/>
        <w:kinsoku/>
        <w:wordWrap/>
        <w:overflowPunct/>
        <w:topLinePunct w:val="0"/>
        <w:autoSpaceDN w:val="0"/>
        <w:bidi w:val="0"/>
        <w:snapToGrid/>
        <w:spacing w:line="500" w:lineRule="exact"/>
        <w:jc w:val="left"/>
        <w:textAlignment w:val="auto"/>
        <w:rPr>
          <w:rFonts w:hint="eastAsia" w:ascii="仿宋" w:hAnsi="仿宋" w:eastAsia="仿宋" w:cs="仿宋"/>
          <w:b/>
          <w:bCs/>
          <w:color w:val="auto"/>
          <w:kern w:val="0"/>
          <w:sz w:val="24"/>
          <w:szCs w:val="24"/>
          <w:highlight w:val="none"/>
          <w:shd w:val="clear" w:color="auto" w:fill="FFFFFF"/>
          <w:lang w:val="en-US" w:eastAsia="zh-CN"/>
        </w:rPr>
      </w:pPr>
      <w:r>
        <w:rPr>
          <w:rFonts w:hint="eastAsia" w:ascii="仿宋" w:hAnsi="仿宋" w:eastAsia="仿宋" w:cs="仿宋"/>
          <w:b/>
          <w:bCs/>
          <w:color w:val="auto"/>
          <w:kern w:val="0"/>
          <w:sz w:val="24"/>
          <w:szCs w:val="24"/>
          <w:highlight w:val="none"/>
          <w:shd w:val="clear" w:color="auto" w:fill="FFFFFF"/>
          <w:lang w:val="en-US" w:eastAsia="zh-CN"/>
        </w:rPr>
        <w:t xml:space="preserve">1.2 </w:t>
      </w:r>
      <w:r>
        <w:rPr>
          <w:rFonts w:hint="eastAsia" w:ascii="仿宋" w:hAnsi="仿宋" w:eastAsia="仿宋" w:cs="仿宋"/>
          <w:b/>
          <w:bCs/>
          <w:color w:val="auto"/>
          <w:kern w:val="0"/>
          <w:sz w:val="24"/>
          <w:szCs w:val="24"/>
          <w:highlight w:val="none"/>
          <w:shd w:val="clear" w:color="auto" w:fill="FFFFFF"/>
        </w:rPr>
        <w:t>项目内容及</w:t>
      </w:r>
      <w:r>
        <w:rPr>
          <w:rFonts w:hint="eastAsia" w:ascii="仿宋" w:hAnsi="仿宋" w:eastAsia="仿宋" w:cs="仿宋"/>
          <w:b/>
          <w:bCs/>
          <w:color w:val="auto"/>
          <w:kern w:val="0"/>
          <w:sz w:val="24"/>
          <w:szCs w:val="24"/>
          <w:highlight w:val="none"/>
          <w:shd w:val="clear" w:color="auto" w:fill="FFFFFF"/>
          <w:lang w:eastAsia="zh-CN"/>
        </w:rPr>
        <w:t>要求</w:t>
      </w:r>
    </w:p>
    <w:p w14:paraId="18251328">
      <w:pPr>
        <w:spacing w:line="336" w:lineRule="auto"/>
        <w:rPr>
          <w:rFonts w:ascii="仿宋" w:hAnsi="仿宋" w:eastAsia="仿宋" w:cs="仿宋"/>
          <w:b/>
          <w:color w:val="auto"/>
          <w:sz w:val="24"/>
        </w:rPr>
      </w:pPr>
      <w:r>
        <w:rPr>
          <w:rFonts w:hint="eastAsia" w:ascii="仿宋" w:hAnsi="仿宋" w:eastAsia="仿宋" w:cs="仿宋"/>
          <w:b/>
          <w:color w:val="auto"/>
          <w:sz w:val="24"/>
          <w:lang w:val="en-US" w:eastAsia="zh-CN"/>
        </w:rPr>
        <w:t>1.2.1</w:t>
      </w:r>
      <w:r>
        <w:rPr>
          <w:rFonts w:hint="eastAsia" w:ascii="仿宋" w:hAnsi="仿宋" w:eastAsia="仿宋" w:cs="仿宋"/>
          <w:b/>
          <w:color w:val="auto"/>
          <w:sz w:val="24"/>
        </w:rPr>
        <w:t>风机盘管</w:t>
      </w:r>
    </w:p>
    <w:p w14:paraId="08BA7FFE">
      <w:pPr>
        <w:spacing w:line="336" w:lineRule="auto"/>
        <w:rPr>
          <w:rFonts w:ascii="仿宋" w:hAnsi="仿宋" w:eastAsia="仿宋" w:cs="仿宋"/>
          <w:color w:val="auto"/>
          <w:sz w:val="24"/>
        </w:rPr>
      </w:pPr>
      <w:r>
        <w:rPr>
          <w:rFonts w:hint="eastAsia" w:ascii="仿宋" w:hAnsi="仿宋" w:eastAsia="仿宋" w:cs="仿宋"/>
          <w:color w:val="auto"/>
          <w:sz w:val="24"/>
          <w:lang w:val="en-US" w:eastAsia="zh-CN"/>
        </w:rPr>
        <w:t>1.2.1.1</w:t>
      </w:r>
      <w:r>
        <w:rPr>
          <w:rFonts w:hint="eastAsia" w:ascii="仿宋" w:hAnsi="仿宋" w:eastAsia="仿宋" w:cs="仿宋"/>
          <w:color w:val="auto"/>
          <w:sz w:val="24"/>
        </w:rPr>
        <w:t>清洗前运行空调及风机，检查是否有异响或噪音，做好记录，如有异响或噪音进行修理（需更换材料由采购人提供）。</w:t>
      </w:r>
    </w:p>
    <w:p w14:paraId="6864B0C7">
      <w:pPr>
        <w:spacing w:line="336" w:lineRule="auto"/>
        <w:rPr>
          <w:rFonts w:ascii="仿宋" w:hAnsi="仿宋" w:eastAsia="仿宋" w:cs="仿宋"/>
          <w:color w:val="auto"/>
          <w:sz w:val="24"/>
        </w:rPr>
      </w:pPr>
      <w:r>
        <w:rPr>
          <w:rFonts w:hint="eastAsia" w:ascii="仿宋" w:hAnsi="仿宋" w:eastAsia="仿宋" w:cs="仿宋"/>
          <w:color w:val="auto"/>
          <w:sz w:val="24"/>
          <w:lang w:val="en-US" w:eastAsia="zh-CN"/>
        </w:rPr>
        <w:t>1.2.1.2</w:t>
      </w:r>
      <w:r>
        <w:rPr>
          <w:rFonts w:hint="eastAsia" w:ascii="仿宋" w:hAnsi="仿宋" w:eastAsia="仿宋" w:cs="仿宋"/>
          <w:color w:val="auto"/>
          <w:sz w:val="24"/>
        </w:rPr>
        <w:t>出风口、回风口、回风滤网拆卸清洗、晾干、安装复位。</w:t>
      </w:r>
    </w:p>
    <w:p w14:paraId="21FFB99C">
      <w:pPr>
        <w:spacing w:line="336" w:lineRule="auto"/>
        <w:rPr>
          <w:rFonts w:ascii="仿宋" w:hAnsi="仿宋" w:eastAsia="仿宋" w:cs="仿宋"/>
          <w:color w:val="auto"/>
          <w:sz w:val="24"/>
        </w:rPr>
      </w:pPr>
      <w:r>
        <w:rPr>
          <w:rFonts w:hint="eastAsia" w:ascii="仿宋" w:hAnsi="仿宋" w:eastAsia="仿宋" w:cs="仿宋"/>
          <w:color w:val="auto"/>
          <w:sz w:val="24"/>
          <w:lang w:val="en-US" w:eastAsia="zh-CN"/>
        </w:rPr>
        <w:t>1.2.1.4</w:t>
      </w:r>
      <w:r>
        <w:rPr>
          <w:rFonts w:hint="eastAsia" w:ascii="仿宋" w:hAnsi="仿宋" w:eastAsia="仿宋" w:cs="仿宋"/>
          <w:color w:val="auto"/>
          <w:sz w:val="24"/>
        </w:rPr>
        <w:t>对空调、风机盘管蜗壳及叶轮进行拆卸清洗，安装调试，并做好记录。</w:t>
      </w:r>
    </w:p>
    <w:p w14:paraId="0C0795D9">
      <w:pPr>
        <w:spacing w:line="336" w:lineRule="auto"/>
        <w:rPr>
          <w:rFonts w:ascii="仿宋" w:hAnsi="仿宋" w:eastAsia="仿宋" w:cs="仿宋"/>
          <w:color w:val="auto"/>
          <w:sz w:val="24"/>
        </w:rPr>
      </w:pPr>
      <w:r>
        <w:rPr>
          <w:rFonts w:hint="eastAsia" w:ascii="仿宋" w:hAnsi="仿宋" w:eastAsia="仿宋" w:cs="仿宋"/>
          <w:color w:val="auto"/>
          <w:sz w:val="24"/>
          <w:lang w:val="en-US" w:eastAsia="zh-CN"/>
        </w:rPr>
        <w:t>1.2.1.4</w:t>
      </w:r>
      <w:r>
        <w:rPr>
          <w:rFonts w:hint="eastAsia" w:ascii="仿宋" w:hAnsi="仿宋" w:eastAsia="仿宋" w:cs="仿宋"/>
          <w:color w:val="auto"/>
          <w:sz w:val="24"/>
        </w:rPr>
        <w:t>对表冷器翅片用翅片清洗剂进行喷淋清洗，并用清水过清。</w:t>
      </w:r>
    </w:p>
    <w:p w14:paraId="2E317EFC">
      <w:pPr>
        <w:spacing w:line="336" w:lineRule="auto"/>
        <w:rPr>
          <w:rFonts w:ascii="仿宋" w:hAnsi="仿宋" w:eastAsia="仿宋" w:cs="仿宋"/>
          <w:color w:val="auto"/>
          <w:sz w:val="24"/>
        </w:rPr>
      </w:pPr>
      <w:r>
        <w:rPr>
          <w:rFonts w:hint="eastAsia" w:ascii="仿宋" w:hAnsi="仿宋" w:eastAsia="仿宋" w:cs="仿宋"/>
          <w:color w:val="auto"/>
          <w:sz w:val="24"/>
          <w:lang w:val="en-US" w:eastAsia="zh-CN"/>
        </w:rPr>
        <w:t>1.2.1.5</w:t>
      </w:r>
      <w:r>
        <w:rPr>
          <w:rFonts w:hint="eastAsia" w:ascii="仿宋" w:hAnsi="仿宋" w:eastAsia="仿宋" w:cs="仿宋"/>
          <w:color w:val="auto"/>
          <w:sz w:val="24"/>
        </w:rPr>
        <w:t>清洗过程不使用化学清洗剂。</w:t>
      </w:r>
    </w:p>
    <w:p w14:paraId="4227856C">
      <w:pPr>
        <w:spacing w:line="336" w:lineRule="auto"/>
        <w:rPr>
          <w:rFonts w:ascii="仿宋" w:hAnsi="仿宋" w:eastAsia="仿宋" w:cs="仿宋"/>
          <w:color w:val="auto"/>
          <w:sz w:val="24"/>
        </w:rPr>
      </w:pPr>
      <w:r>
        <w:rPr>
          <w:rFonts w:hint="eastAsia" w:ascii="仿宋" w:hAnsi="仿宋" w:eastAsia="仿宋" w:cs="仿宋"/>
          <w:color w:val="auto"/>
          <w:sz w:val="24"/>
          <w:lang w:val="en-US" w:eastAsia="zh-CN"/>
        </w:rPr>
        <w:t>1.2.1.6</w:t>
      </w:r>
      <w:r>
        <w:rPr>
          <w:rFonts w:hint="eastAsia" w:ascii="仿宋" w:hAnsi="仿宋" w:eastAsia="仿宋" w:cs="仿宋"/>
          <w:color w:val="auto"/>
          <w:sz w:val="24"/>
        </w:rPr>
        <w:t>对托盘进行清洗，并检查集水盘排水管是否畅通，托盘清洗完成后加防霉片。</w:t>
      </w:r>
    </w:p>
    <w:p w14:paraId="055AF9FE">
      <w:pPr>
        <w:spacing w:line="336" w:lineRule="auto"/>
        <w:rPr>
          <w:rFonts w:ascii="仿宋" w:hAnsi="仿宋" w:eastAsia="仿宋" w:cs="仿宋"/>
          <w:color w:val="auto"/>
          <w:sz w:val="24"/>
        </w:rPr>
      </w:pPr>
      <w:r>
        <w:rPr>
          <w:rFonts w:hint="eastAsia" w:ascii="仿宋" w:hAnsi="仿宋" w:eastAsia="仿宋" w:cs="仿宋"/>
          <w:color w:val="auto"/>
          <w:sz w:val="24"/>
          <w:lang w:val="en-US" w:eastAsia="zh-CN"/>
        </w:rPr>
        <w:t>1.2.1.7</w:t>
      </w:r>
      <w:r>
        <w:rPr>
          <w:rFonts w:hint="eastAsia" w:ascii="仿宋" w:hAnsi="仿宋" w:eastAsia="仿宋" w:cs="仿宋"/>
          <w:color w:val="auto"/>
          <w:sz w:val="24"/>
        </w:rPr>
        <w:t>回风箱和出风管用吸尘器把箱（管）内的灰尘清除，然后用干净布条擦拭内壁直到干净。</w:t>
      </w:r>
    </w:p>
    <w:p w14:paraId="3E30584E">
      <w:pPr>
        <w:spacing w:line="336" w:lineRule="auto"/>
        <w:rPr>
          <w:rFonts w:ascii="仿宋" w:hAnsi="仿宋" w:eastAsia="仿宋" w:cs="仿宋"/>
          <w:b/>
          <w:color w:val="auto"/>
          <w:sz w:val="24"/>
        </w:rPr>
      </w:pPr>
      <w:r>
        <w:rPr>
          <w:rFonts w:hint="eastAsia" w:ascii="仿宋" w:hAnsi="仿宋" w:eastAsia="仿宋" w:cs="仿宋"/>
          <w:b/>
          <w:color w:val="auto"/>
          <w:sz w:val="24"/>
          <w:lang w:val="en-US" w:eastAsia="zh-CN"/>
        </w:rPr>
        <w:t>1.2.2</w:t>
      </w:r>
      <w:r>
        <w:rPr>
          <w:rFonts w:hint="eastAsia" w:ascii="仿宋" w:hAnsi="仿宋" w:eastAsia="仿宋" w:cs="仿宋"/>
          <w:b/>
          <w:color w:val="auto"/>
          <w:sz w:val="24"/>
        </w:rPr>
        <w:t>风管</w:t>
      </w:r>
    </w:p>
    <w:p w14:paraId="1506E1BA">
      <w:pPr>
        <w:spacing w:line="336" w:lineRule="auto"/>
        <w:rPr>
          <w:rFonts w:ascii="仿宋" w:hAnsi="仿宋" w:eastAsia="仿宋" w:cs="仿宋"/>
          <w:b w:val="0"/>
          <w:bCs/>
          <w:color w:val="auto"/>
          <w:sz w:val="24"/>
        </w:rPr>
      </w:pPr>
      <w:r>
        <w:rPr>
          <w:rFonts w:hint="eastAsia" w:ascii="仿宋" w:hAnsi="仿宋" w:eastAsia="仿宋" w:cs="仿宋"/>
          <w:b w:val="0"/>
          <w:bCs/>
          <w:color w:val="auto"/>
          <w:sz w:val="24"/>
          <w:lang w:val="en-US" w:eastAsia="zh-CN"/>
        </w:rPr>
        <w:t>1.2.2.1</w:t>
      </w:r>
      <w:r>
        <w:rPr>
          <w:rFonts w:hint="eastAsia" w:ascii="仿宋" w:hAnsi="仿宋" w:eastAsia="仿宋" w:cs="仿宋"/>
          <w:b w:val="0"/>
          <w:bCs/>
          <w:color w:val="auto"/>
          <w:sz w:val="24"/>
        </w:rPr>
        <w:t>清洗施工期间不能影响清洗区域以外楼层的中央空调正常使用。</w:t>
      </w:r>
    </w:p>
    <w:p w14:paraId="1EF1B20A">
      <w:pPr>
        <w:spacing w:line="336" w:lineRule="auto"/>
        <w:rPr>
          <w:rFonts w:ascii="仿宋" w:hAnsi="仿宋" w:eastAsia="仿宋" w:cs="仿宋"/>
          <w:b w:val="0"/>
          <w:bCs/>
          <w:color w:val="auto"/>
          <w:sz w:val="24"/>
        </w:rPr>
      </w:pPr>
      <w:r>
        <w:rPr>
          <w:rFonts w:hint="eastAsia" w:ascii="仿宋" w:hAnsi="仿宋" w:eastAsia="仿宋" w:cs="仿宋"/>
          <w:b w:val="0"/>
          <w:bCs/>
          <w:color w:val="auto"/>
          <w:sz w:val="24"/>
          <w:lang w:val="en-US" w:eastAsia="zh-CN"/>
        </w:rPr>
        <w:t>1.2.2.2</w:t>
      </w:r>
      <w:r>
        <w:rPr>
          <w:rFonts w:hint="eastAsia" w:ascii="仿宋" w:hAnsi="仿宋" w:eastAsia="仿宋" w:cs="仿宋"/>
          <w:b w:val="0"/>
          <w:bCs/>
          <w:color w:val="auto"/>
          <w:sz w:val="24"/>
        </w:rPr>
        <w:t>中央空调风道根据风处理机的布置情况定时分区域清洗，避免二次污染。</w:t>
      </w:r>
    </w:p>
    <w:p w14:paraId="18FB21EB">
      <w:pPr>
        <w:spacing w:line="336" w:lineRule="auto"/>
        <w:rPr>
          <w:rFonts w:ascii="仿宋" w:hAnsi="仿宋" w:eastAsia="仿宋" w:cs="仿宋"/>
          <w:b w:val="0"/>
          <w:bCs/>
          <w:color w:val="auto"/>
          <w:sz w:val="24"/>
        </w:rPr>
      </w:pPr>
      <w:r>
        <w:rPr>
          <w:rFonts w:hint="eastAsia" w:ascii="仿宋" w:hAnsi="仿宋" w:eastAsia="仿宋" w:cs="仿宋"/>
          <w:b w:val="0"/>
          <w:bCs/>
          <w:color w:val="auto"/>
          <w:sz w:val="24"/>
          <w:lang w:val="en-US" w:eastAsia="zh-CN"/>
        </w:rPr>
        <w:t>1.2.2.3</w:t>
      </w:r>
      <w:r>
        <w:rPr>
          <w:rFonts w:hint="eastAsia" w:ascii="仿宋" w:hAnsi="仿宋" w:eastAsia="仿宋" w:cs="仿宋"/>
          <w:b w:val="0"/>
          <w:bCs/>
          <w:color w:val="auto"/>
          <w:sz w:val="24"/>
        </w:rPr>
        <w:t>所有通风管道（含通风管道进出风口）全部按采购人要求清洗及进出风口加固。</w:t>
      </w:r>
    </w:p>
    <w:p w14:paraId="65ABCAB4">
      <w:pPr>
        <w:spacing w:line="336" w:lineRule="auto"/>
        <w:rPr>
          <w:rFonts w:ascii="仿宋" w:hAnsi="仿宋" w:eastAsia="仿宋" w:cs="仿宋"/>
          <w:b w:val="0"/>
          <w:bCs/>
          <w:color w:val="auto"/>
          <w:sz w:val="24"/>
          <w:highlight w:val="none"/>
        </w:rPr>
      </w:pPr>
      <w:r>
        <w:rPr>
          <w:rFonts w:hint="eastAsia" w:ascii="仿宋" w:hAnsi="仿宋" w:eastAsia="仿宋" w:cs="仿宋"/>
          <w:b w:val="0"/>
          <w:bCs/>
          <w:color w:val="auto"/>
          <w:sz w:val="24"/>
          <w:lang w:val="en-US" w:eastAsia="zh-CN"/>
        </w:rPr>
        <w:t>1.2.2.4</w:t>
      </w:r>
      <w:r>
        <w:rPr>
          <w:rFonts w:hint="eastAsia" w:ascii="仿宋" w:hAnsi="仿宋" w:eastAsia="仿宋" w:cs="仿宋"/>
          <w:b w:val="0"/>
          <w:bCs/>
          <w:color w:val="auto"/>
          <w:sz w:val="24"/>
        </w:rPr>
        <w:t>现场保护（地面全部覆盖塑料布、办</w:t>
      </w:r>
      <w:r>
        <w:rPr>
          <w:rFonts w:hint="eastAsia" w:ascii="仿宋" w:hAnsi="仿宋" w:eastAsia="仿宋" w:cs="仿宋"/>
          <w:b w:val="0"/>
          <w:bCs/>
          <w:color w:val="auto"/>
          <w:sz w:val="24"/>
          <w:highlight w:val="none"/>
        </w:rPr>
        <w:t>公用品、家具、电器全部覆盖白布）。</w:t>
      </w:r>
    </w:p>
    <w:p w14:paraId="4AA58277">
      <w:pPr>
        <w:spacing w:line="336" w:lineRule="auto"/>
        <w:rPr>
          <w:rFonts w:ascii="仿宋" w:hAnsi="仿宋" w:eastAsia="仿宋" w:cs="仿宋"/>
          <w:b w:val="0"/>
          <w:bCs/>
          <w:color w:val="auto"/>
          <w:sz w:val="24"/>
          <w:highlight w:val="none"/>
        </w:rPr>
      </w:pPr>
      <w:r>
        <w:rPr>
          <w:rFonts w:hint="eastAsia" w:ascii="仿宋" w:hAnsi="仿宋" w:eastAsia="仿宋" w:cs="仿宋"/>
          <w:b w:val="0"/>
          <w:bCs/>
          <w:color w:val="auto"/>
          <w:sz w:val="24"/>
          <w:lang w:val="en-US" w:eastAsia="zh-CN"/>
        </w:rPr>
        <w:t>1.2.2.5</w:t>
      </w:r>
      <w:r>
        <w:rPr>
          <w:rFonts w:hint="eastAsia" w:ascii="仿宋" w:hAnsi="仿宋" w:eastAsia="仿宋" w:cs="仿宋"/>
          <w:b w:val="0"/>
          <w:bCs/>
          <w:color w:val="auto"/>
          <w:sz w:val="24"/>
          <w:highlight w:val="none"/>
        </w:rPr>
        <w:t>施工过程中不影响医院医疗秩序。</w:t>
      </w:r>
    </w:p>
    <w:p w14:paraId="355A6ECE">
      <w:pPr>
        <w:spacing w:line="336" w:lineRule="auto"/>
        <w:rPr>
          <w:rFonts w:ascii="仿宋" w:hAnsi="仿宋" w:eastAsia="仿宋" w:cs="仿宋"/>
          <w:b w:val="0"/>
          <w:bCs/>
          <w:color w:val="auto"/>
          <w:sz w:val="24"/>
          <w:highlight w:val="none"/>
        </w:rPr>
      </w:pPr>
      <w:r>
        <w:rPr>
          <w:rFonts w:hint="eastAsia" w:ascii="仿宋" w:hAnsi="仿宋" w:eastAsia="仿宋" w:cs="仿宋"/>
          <w:b w:val="0"/>
          <w:bCs/>
          <w:color w:val="auto"/>
          <w:sz w:val="24"/>
          <w:lang w:val="en-US" w:eastAsia="zh-CN"/>
        </w:rPr>
        <w:t>1.2.2.6</w:t>
      </w:r>
      <w:r>
        <w:rPr>
          <w:rFonts w:hint="eastAsia" w:ascii="仿宋" w:hAnsi="仿宋" w:eastAsia="仿宋" w:cs="仿宋"/>
          <w:b w:val="0"/>
          <w:bCs/>
          <w:color w:val="auto"/>
          <w:sz w:val="24"/>
          <w:highlight w:val="none"/>
        </w:rPr>
        <w:t>保证清洗施工不会损坏吊顶和风管的强度及其使用寿命，若现场需开工艺检修口，要在图纸标明位置和记录开口数量及尺寸。</w:t>
      </w:r>
    </w:p>
    <w:p w14:paraId="2164A1F7">
      <w:pPr>
        <w:spacing w:line="336" w:lineRule="auto"/>
        <w:rPr>
          <w:rFonts w:hint="eastAsia" w:ascii="仿宋" w:hAnsi="仿宋" w:eastAsia="仿宋" w:cs="仿宋"/>
          <w:b w:val="0"/>
          <w:bCs/>
          <w:color w:val="auto"/>
          <w:sz w:val="24"/>
        </w:rPr>
      </w:pPr>
      <w:r>
        <w:rPr>
          <w:rFonts w:hint="eastAsia" w:ascii="仿宋" w:hAnsi="仿宋" w:eastAsia="仿宋" w:cs="仿宋"/>
          <w:b w:val="0"/>
          <w:bCs/>
          <w:color w:val="auto"/>
          <w:sz w:val="24"/>
          <w:lang w:val="en-US" w:eastAsia="zh-CN"/>
        </w:rPr>
        <w:t>1.2.2.7</w:t>
      </w:r>
      <w:r>
        <w:rPr>
          <w:rFonts w:hint="eastAsia" w:ascii="仿宋" w:hAnsi="仿宋" w:eastAsia="仿宋" w:cs="仿宋"/>
          <w:b w:val="0"/>
          <w:bCs/>
          <w:color w:val="auto"/>
          <w:sz w:val="24"/>
          <w:highlight w:val="none"/>
        </w:rPr>
        <w:t>针对风管的特殊情况，对特殊地点和位置做相应安排（如在石</w:t>
      </w:r>
      <w:r>
        <w:rPr>
          <w:rFonts w:hint="eastAsia" w:ascii="仿宋" w:hAnsi="仿宋" w:eastAsia="仿宋" w:cs="仿宋"/>
          <w:b w:val="0"/>
          <w:bCs/>
          <w:color w:val="auto"/>
          <w:sz w:val="24"/>
        </w:rPr>
        <w:t>膏吊顶板上开检修口），具体施工协商解决。</w:t>
      </w:r>
    </w:p>
    <w:p w14:paraId="45B35BF8">
      <w:pPr>
        <w:snapToGrid w:val="0"/>
        <w:spacing w:line="360" w:lineRule="auto"/>
        <w:rPr>
          <w:rFonts w:hint="eastAsia" w:ascii="仿宋" w:hAnsi="仿宋" w:eastAsia="仿宋" w:cs="宋体"/>
          <w:b w:val="0"/>
          <w:bCs/>
          <w:snapToGrid w:val="0"/>
          <w:color w:val="auto"/>
          <w:sz w:val="24"/>
        </w:rPr>
      </w:pPr>
      <w:r>
        <w:rPr>
          <w:rFonts w:hint="eastAsia" w:ascii="仿宋" w:hAnsi="仿宋" w:eastAsia="仿宋" w:cs="仿宋"/>
          <w:b w:val="0"/>
          <w:bCs/>
          <w:color w:val="auto"/>
          <w:sz w:val="24"/>
          <w:lang w:val="en-US" w:eastAsia="zh-CN"/>
        </w:rPr>
        <w:t>1.2.2.8</w:t>
      </w:r>
      <w:r>
        <w:rPr>
          <w:rFonts w:hint="eastAsia" w:ascii="仿宋" w:hAnsi="仿宋" w:eastAsia="仿宋" w:cs="宋体"/>
          <w:b w:val="0"/>
          <w:bCs/>
          <w:snapToGrid w:val="0"/>
          <w:color w:val="auto"/>
          <w:sz w:val="24"/>
        </w:rPr>
        <w:t>通风管道清洗的工艺必须选择对环境无污染的负压类清洗工艺，符合国家疾病预防控制中心的有关要求，清洗作业时无任何二次污染的情况；清洗设备必须通过中国疾病预防控制中心的认证、认可。使用的清洁剂必须对设备安全无腐蚀，消毒剂必须具有国家疾控安全认证的消字号，必须是对环境安全可自然降解的。风管清洗后的积尘量应达到每平方米风管内表面小于1.0克，部件清洗后应无残留污染物检出。消毒后的风管内壁细菌总数、细菌总数的去除率应大于90%，致病菌不得检出。</w:t>
      </w:r>
    </w:p>
    <w:p w14:paraId="2A709D1B">
      <w:pPr>
        <w:snapToGrid w:val="0"/>
        <w:spacing w:line="360" w:lineRule="auto"/>
        <w:rPr>
          <w:rFonts w:hint="eastAsia" w:ascii="仿宋" w:hAnsi="仿宋" w:eastAsia="仿宋" w:cs="仿宋"/>
          <w:b w:val="0"/>
          <w:bCs/>
          <w:snapToGrid w:val="0"/>
          <w:color w:val="auto"/>
          <w:sz w:val="24"/>
        </w:rPr>
      </w:pPr>
      <w:r>
        <w:rPr>
          <w:rFonts w:hint="eastAsia" w:ascii="仿宋" w:hAnsi="仿宋" w:eastAsia="仿宋" w:cs="仿宋"/>
          <w:b w:val="0"/>
          <w:bCs/>
          <w:color w:val="auto"/>
          <w:sz w:val="24"/>
          <w:lang w:val="en-US" w:eastAsia="zh-CN"/>
        </w:rPr>
        <w:t>1.2.2.9</w:t>
      </w:r>
      <w:r>
        <w:rPr>
          <w:rFonts w:hint="eastAsia" w:ascii="仿宋" w:hAnsi="仿宋" w:eastAsia="仿宋" w:cs="仿宋"/>
          <w:b w:val="0"/>
          <w:bCs/>
          <w:snapToGrid w:val="0"/>
          <w:color w:val="auto"/>
          <w:sz w:val="24"/>
        </w:rPr>
        <w:t>送风卫生要求</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1"/>
        <w:gridCol w:w="4009"/>
      </w:tblGrid>
      <w:tr w14:paraId="27AB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vAlign w:val="center"/>
          </w:tcPr>
          <w:p w14:paraId="09659CA8">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项目</w:t>
            </w:r>
          </w:p>
        </w:tc>
        <w:tc>
          <w:tcPr>
            <w:tcW w:w="2352" w:type="pct"/>
            <w:vAlign w:val="center"/>
          </w:tcPr>
          <w:p w14:paraId="4017A3C0">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要求</w:t>
            </w:r>
          </w:p>
        </w:tc>
      </w:tr>
      <w:tr w14:paraId="4235A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vAlign w:val="center"/>
          </w:tcPr>
          <w:p w14:paraId="339D993C">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PM10</w:t>
            </w:r>
          </w:p>
        </w:tc>
        <w:tc>
          <w:tcPr>
            <w:tcW w:w="2352" w:type="pct"/>
            <w:vAlign w:val="center"/>
          </w:tcPr>
          <w:p w14:paraId="4C87B504">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≤0.08 mg/m3</w:t>
            </w:r>
          </w:p>
        </w:tc>
      </w:tr>
      <w:tr w14:paraId="707E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vAlign w:val="center"/>
          </w:tcPr>
          <w:p w14:paraId="64F731C3">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细菌总数</w:t>
            </w:r>
          </w:p>
        </w:tc>
        <w:tc>
          <w:tcPr>
            <w:tcW w:w="2352" w:type="pct"/>
            <w:vAlign w:val="center"/>
          </w:tcPr>
          <w:p w14:paraId="40A72B60">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≤500 cfu/m3</w:t>
            </w:r>
          </w:p>
        </w:tc>
      </w:tr>
      <w:tr w14:paraId="7EFE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vAlign w:val="center"/>
          </w:tcPr>
          <w:p w14:paraId="739A3E40">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真菌总数</w:t>
            </w:r>
          </w:p>
        </w:tc>
        <w:tc>
          <w:tcPr>
            <w:tcW w:w="2352" w:type="pct"/>
            <w:vAlign w:val="center"/>
          </w:tcPr>
          <w:p w14:paraId="261B26F4">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≤500 cfu/m3</w:t>
            </w:r>
          </w:p>
        </w:tc>
      </w:tr>
      <w:tr w14:paraId="4FE5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vAlign w:val="center"/>
          </w:tcPr>
          <w:p w14:paraId="2FA8B8F6">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β-溶血性链球菌等致病微生物</w:t>
            </w:r>
          </w:p>
        </w:tc>
        <w:tc>
          <w:tcPr>
            <w:tcW w:w="2352" w:type="pct"/>
            <w:vAlign w:val="center"/>
          </w:tcPr>
          <w:p w14:paraId="294E38EC">
            <w:pPr>
              <w:spacing w:line="360" w:lineRule="auto"/>
              <w:ind w:firstLine="480" w:firstLineChars="200"/>
              <w:jc w:val="center"/>
              <w:rPr>
                <w:rFonts w:hint="eastAsia" w:ascii="仿宋" w:hAnsi="仿宋" w:eastAsia="仿宋" w:cs="仿宋"/>
                <w:color w:val="auto"/>
                <w:sz w:val="24"/>
              </w:rPr>
            </w:pPr>
            <w:r>
              <w:rPr>
                <w:rFonts w:hint="eastAsia" w:ascii="仿宋" w:hAnsi="仿宋" w:eastAsia="仿宋" w:cs="仿宋"/>
                <w:color w:val="auto"/>
                <w:sz w:val="24"/>
              </w:rPr>
              <w:t>不得检出</w:t>
            </w:r>
          </w:p>
        </w:tc>
      </w:tr>
    </w:tbl>
    <w:p w14:paraId="3A3A4261">
      <w:pPr>
        <w:snapToGrid w:val="0"/>
        <w:spacing w:line="360" w:lineRule="auto"/>
        <w:rPr>
          <w:rFonts w:hint="eastAsia" w:ascii="仿宋" w:hAnsi="仿宋" w:eastAsia="仿宋" w:cs="仿宋"/>
          <w:bCs/>
          <w:snapToGrid w:val="0"/>
          <w:color w:val="auto"/>
          <w:sz w:val="24"/>
        </w:rPr>
      </w:pPr>
      <w:r>
        <w:rPr>
          <w:rFonts w:hint="eastAsia" w:ascii="仿宋" w:hAnsi="仿宋" w:eastAsia="仿宋" w:cs="仿宋"/>
          <w:bCs/>
          <w:snapToGrid w:val="0"/>
          <w:color w:val="auto"/>
          <w:sz w:val="24"/>
          <w:lang w:val="en-US" w:eastAsia="zh-CN"/>
        </w:rPr>
        <w:t>1.2.2.10</w:t>
      </w:r>
      <w:r>
        <w:rPr>
          <w:rFonts w:hint="eastAsia" w:ascii="仿宋" w:hAnsi="仿宋" w:eastAsia="仿宋" w:cs="仿宋"/>
          <w:bCs/>
          <w:snapToGrid w:val="0"/>
          <w:color w:val="auto"/>
          <w:sz w:val="24"/>
        </w:rPr>
        <w:t>、风管内表面要求</w:t>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1"/>
        <w:gridCol w:w="4009"/>
      </w:tblGrid>
      <w:tr w14:paraId="42B0B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tcPr>
          <w:p w14:paraId="283FD473">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项目</w:t>
            </w:r>
          </w:p>
        </w:tc>
        <w:tc>
          <w:tcPr>
            <w:tcW w:w="2352" w:type="pct"/>
          </w:tcPr>
          <w:p w14:paraId="614DFC58">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要求</w:t>
            </w:r>
          </w:p>
        </w:tc>
      </w:tr>
      <w:tr w14:paraId="7885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tcPr>
          <w:p w14:paraId="4C31231F">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积成量</w:t>
            </w:r>
          </w:p>
        </w:tc>
        <w:tc>
          <w:tcPr>
            <w:tcW w:w="2352" w:type="pct"/>
          </w:tcPr>
          <w:p w14:paraId="6AD7EEC6">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≤1g/m2</w:t>
            </w:r>
          </w:p>
        </w:tc>
      </w:tr>
      <w:tr w14:paraId="0A5F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tcPr>
          <w:p w14:paraId="35498E91">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致病微生物</w:t>
            </w:r>
          </w:p>
        </w:tc>
        <w:tc>
          <w:tcPr>
            <w:tcW w:w="2352" w:type="pct"/>
          </w:tcPr>
          <w:p w14:paraId="08573FDA">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不得检出</w:t>
            </w:r>
          </w:p>
        </w:tc>
      </w:tr>
      <w:tr w14:paraId="2342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tcPr>
          <w:p w14:paraId="7F8CE27B">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细菌总数</w:t>
            </w:r>
          </w:p>
        </w:tc>
        <w:tc>
          <w:tcPr>
            <w:tcW w:w="2352" w:type="pct"/>
          </w:tcPr>
          <w:p w14:paraId="565E61AB">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≤100 cfu/cm2</w:t>
            </w:r>
          </w:p>
        </w:tc>
      </w:tr>
      <w:tr w14:paraId="1B12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7" w:type="pct"/>
          </w:tcPr>
          <w:p w14:paraId="11C6C313">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真菌总数</w:t>
            </w:r>
          </w:p>
        </w:tc>
        <w:tc>
          <w:tcPr>
            <w:tcW w:w="2352" w:type="pct"/>
          </w:tcPr>
          <w:p w14:paraId="549A791D">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≤100 cfu/cm2</w:t>
            </w:r>
          </w:p>
        </w:tc>
      </w:tr>
    </w:tbl>
    <w:p w14:paraId="138C3B6B">
      <w:pPr>
        <w:spacing w:line="336" w:lineRule="auto"/>
        <w:rPr>
          <w:rFonts w:hint="eastAsia" w:ascii="仿宋" w:hAnsi="仿宋" w:eastAsia="仿宋" w:cs="仿宋"/>
          <w:color w:val="auto"/>
          <w:sz w:val="24"/>
        </w:rPr>
      </w:pPr>
    </w:p>
    <w:p w14:paraId="2F88F678">
      <w:pPr>
        <w:spacing w:line="336" w:lineRule="auto"/>
        <w:rPr>
          <w:rFonts w:hint="default" w:ascii="仿宋" w:hAnsi="仿宋" w:eastAsia="仿宋" w:cs="仿宋"/>
          <w:b/>
          <w:color w:val="auto"/>
          <w:sz w:val="24"/>
          <w:lang w:val="en-US" w:eastAsia="zh-CN"/>
        </w:rPr>
      </w:pPr>
      <w:r>
        <w:rPr>
          <w:rFonts w:hint="eastAsia" w:ascii="仿宋" w:hAnsi="仿宋" w:eastAsia="仿宋" w:cs="仿宋"/>
          <w:b/>
          <w:color w:val="auto"/>
          <w:sz w:val="24"/>
          <w:lang w:val="en-US" w:eastAsia="zh-CN"/>
        </w:rPr>
        <w:t>1.2.3</w:t>
      </w:r>
      <w:r>
        <w:rPr>
          <w:rFonts w:hint="eastAsia" w:ascii="仿宋" w:hAnsi="仿宋" w:eastAsia="仿宋" w:cs="仿宋"/>
          <w:b/>
          <w:color w:val="auto"/>
          <w:sz w:val="24"/>
        </w:rPr>
        <w:t>空调机组</w:t>
      </w:r>
      <w:r>
        <w:rPr>
          <w:rFonts w:hint="eastAsia" w:ascii="仿宋" w:hAnsi="仿宋" w:eastAsia="仿宋" w:cs="仿宋"/>
          <w:b/>
          <w:color w:val="auto"/>
          <w:sz w:val="24"/>
          <w:lang w:eastAsia="zh-CN"/>
        </w:rPr>
        <w:t>、</w:t>
      </w:r>
      <w:r>
        <w:rPr>
          <w:rFonts w:hint="eastAsia" w:ascii="仿宋" w:hAnsi="仿宋" w:eastAsia="仿宋" w:cs="仿宋"/>
          <w:b/>
          <w:color w:val="auto"/>
          <w:sz w:val="24"/>
          <w:lang w:val="en-US" w:eastAsia="zh-CN"/>
        </w:rPr>
        <w:t>新风机组</w:t>
      </w:r>
    </w:p>
    <w:p w14:paraId="2AFFC904">
      <w:pPr>
        <w:spacing w:line="336"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部件清洗范围包括：空气处理机组的内表面、冷凝水盘、加湿和除湿器、盘管组件、风机、消毒装置等。</w:t>
      </w:r>
    </w:p>
    <w:p w14:paraId="48DD8639">
      <w:pPr>
        <w:spacing w:line="336" w:lineRule="auto"/>
        <w:rPr>
          <w:rFonts w:hint="eastAsia" w:ascii="仿宋" w:hAnsi="仿宋" w:eastAsia="仿宋" w:cs="仿宋"/>
          <w:b w:val="0"/>
          <w:bCs/>
          <w:color w:val="auto"/>
          <w:sz w:val="24"/>
        </w:rPr>
      </w:pPr>
      <w:r>
        <w:rPr>
          <w:rFonts w:hint="eastAsia" w:ascii="仿宋" w:hAnsi="仿宋" w:eastAsia="仿宋" w:cs="仿宋"/>
          <w:b w:val="0"/>
          <w:bCs/>
          <w:color w:val="auto"/>
          <w:sz w:val="24"/>
          <w:lang w:val="en-US" w:eastAsia="zh-CN"/>
        </w:rPr>
        <w:t>1.2.3.1</w:t>
      </w:r>
      <w:r>
        <w:rPr>
          <w:rFonts w:hint="eastAsia" w:ascii="仿宋" w:hAnsi="仿宋" w:eastAsia="仿宋" w:cs="仿宋"/>
          <w:b w:val="0"/>
          <w:bCs/>
          <w:color w:val="auto"/>
          <w:sz w:val="24"/>
        </w:rPr>
        <w:t>清洗前运行风机，检查是否有异响或噪音，做好记录，如有异响或噪音进行修理。</w:t>
      </w:r>
    </w:p>
    <w:p w14:paraId="69B9B9E3">
      <w:pPr>
        <w:spacing w:line="336" w:lineRule="auto"/>
        <w:rPr>
          <w:rFonts w:hint="eastAsia" w:ascii="仿宋" w:hAnsi="仿宋" w:eastAsia="仿宋" w:cs="仿宋"/>
          <w:b w:val="0"/>
          <w:bCs/>
          <w:color w:val="auto"/>
          <w:sz w:val="24"/>
        </w:rPr>
      </w:pPr>
      <w:r>
        <w:rPr>
          <w:rFonts w:hint="eastAsia" w:ascii="仿宋" w:hAnsi="仿宋" w:eastAsia="仿宋" w:cs="仿宋"/>
          <w:b w:val="0"/>
          <w:bCs/>
          <w:color w:val="auto"/>
          <w:sz w:val="24"/>
          <w:lang w:val="en-US" w:eastAsia="zh-CN"/>
        </w:rPr>
        <w:t>1.2.3.2</w:t>
      </w:r>
      <w:r>
        <w:rPr>
          <w:rFonts w:hint="eastAsia" w:ascii="仿宋" w:hAnsi="仿宋" w:eastAsia="仿宋" w:cs="仿宋"/>
          <w:b w:val="0"/>
          <w:bCs/>
          <w:color w:val="auto"/>
          <w:sz w:val="24"/>
        </w:rPr>
        <w:t>回风滤网拆卸清洗、晾干、安装复位。</w:t>
      </w:r>
    </w:p>
    <w:p w14:paraId="755E56C1">
      <w:pPr>
        <w:spacing w:line="336" w:lineRule="auto"/>
        <w:rPr>
          <w:rFonts w:hint="eastAsia" w:ascii="仿宋" w:hAnsi="仿宋" w:eastAsia="仿宋" w:cs="仿宋"/>
          <w:b w:val="0"/>
          <w:bCs/>
          <w:color w:val="auto"/>
          <w:sz w:val="24"/>
        </w:rPr>
      </w:pPr>
      <w:r>
        <w:rPr>
          <w:rFonts w:hint="eastAsia" w:ascii="仿宋" w:hAnsi="仿宋" w:eastAsia="仿宋" w:cs="仿宋"/>
          <w:b w:val="0"/>
          <w:bCs/>
          <w:color w:val="auto"/>
          <w:sz w:val="24"/>
          <w:lang w:val="en-US" w:eastAsia="zh-CN"/>
        </w:rPr>
        <w:t>1.2.3.3</w:t>
      </w:r>
      <w:r>
        <w:rPr>
          <w:rFonts w:hint="eastAsia" w:ascii="仿宋" w:hAnsi="仿宋" w:eastAsia="仿宋" w:cs="仿宋"/>
          <w:b w:val="0"/>
          <w:bCs/>
          <w:color w:val="auto"/>
          <w:sz w:val="24"/>
        </w:rPr>
        <w:t>对表冷器翅片用翅片清洗剂进行喷淋清洗，并用清水过清，清洗过程不使用化学清洗剂。</w:t>
      </w:r>
    </w:p>
    <w:p w14:paraId="04AC3760">
      <w:pPr>
        <w:spacing w:line="336" w:lineRule="auto"/>
        <w:rPr>
          <w:rFonts w:hint="eastAsia" w:ascii="仿宋" w:hAnsi="仿宋" w:eastAsia="仿宋" w:cs="仿宋"/>
          <w:b w:val="0"/>
          <w:bCs/>
          <w:color w:val="auto"/>
          <w:sz w:val="24"/>
        </w:rPr>
      </w:pPr>
      <w:r>
        <w:rPr>
          <w:rFonts w:hint="eastAsia" w:ascii="仿宋" w:hAnsi="仿宋" w:eastAsia="仿宋" w:cs="仿宋"/>
          <w:b w:val="0"/>
          <w:bCs/>
          <w:color w:val="auto"/>
          <w:sz w:val="24"/>
          <w:lang w:val="en-US" w:eastAsia="zh-CN"/>
        </w:rPr>
        <w:t>1.2.3.4</w:t>
      </w:r>
      <w:r>
        <w:rPr>
          <w:rFonts w:hint="eastAsia" w:ascii="仿宋" w:hAnsi="仿宋" w:eastAsia="仿宋" w:cs="仿宋"/>
          <w:b w:val="0"/>
          <w:bCs/>
          <w:color w:val="auto"/>
          <w:sz w:val="24"/>
        </w:rPr>
        <w:t>对空气处理机组的内外面、冷凝水盘、加湿和除湿器、风机清洗，并检查冷凝水盘排水管是否畅通，冷凝水盘清洗完成后加防霉片。</w:t>
      </w:r>
    </w:p>
    <w:p w14:paraId="43A6A7BB">
      <w:pPr>
        <w:spacing w:line="336" w:lineRule="auto"/>
        <w:rPr>
          <w:rFonts w:hint="eastAsia" w:ascii="仿宋" w:hAnsi="仿宋" w:eastAsia="仿宋" w:cs="仿宋"/>
          <w:b w:val="0"/>
          <w:bCs/>
          <w:color w:val="auto"/>
          <w:sz w:val="24"/>
        </w:rPr>
      </w:pPr>
      <w:r>
        <w:rPr>
          <w:rFonts w:hint="eastAsia" w:ascii="仿宋" w:hAnsi="仿宋" w:eastAsia="仿宋" w:cs="仿宋"/>
          <w:b w:val="0"/>
          <w:bCs/>
          <w:color w:val="auto"/>
          <w:sz w:val="24"/>
          <w:lang w:val="en-US" w:eastAsia="zh-CN"/>
        </w:rPr>
        <w:t>1.2.3.5</w:t>
      </w:r>
      <w:r>
        <w:rPr>
          <w:rFonts w:hint="eastAsia" w:ascii="仿宋" w:hAnsi="仿宋" w:eastAsia="仿宋" w:cs="仿宋"/>
          <w:b w:val="0"/>
          <w:bCs/>
          <w:color w:val="auto"/>
          <w:sz w:val="24"/>
        </w:rPr>
        <w:t>清洗后的部件均应满足有关标准的要求。部件可直接进行清洗或拆卸后进行清洗，清洗后的部件应恢复到原来所在位置，可调节部件还应恢复到原来的调节位置。</w:t>
      </w:r>
    </w:p>
    <w:p w14:paraId="2F2AF575">
      <w:pPr>
        <w:spacing w:line="336" w:lineRule="auto"/>
        <w:rPr>
          <w:rFonts w:hint="eastAsia" w:ascii="仿宋" w:hAnsi="仿宋" w:eastAsia="仿宋" w:cs="仿宋"/>
          <w:b w:val="0"/>
          <w:bCs/>
          <w:color w:val="auto"/>
          <w:sz w:val="24"/>
        </w:rPr>
      </w:pPr>
      <w:r>
        <w:rPr>
          <w:rFonts w:hint="eastAsia" w:ascii="仿宋" w:hAnsi="仿宋" w:eastAsia="仿宋" w:cs="仿宋"/>
          <w:b w:val="0"/>
          <w:bCs/>
          <w:color w:val="auto"/>
          <w:sz w:val="24"/>
          <w:lang w:val="en-US" w:eastAsia="zh-CN"/>
        </w:rPr>
        <w:t>1.2.3.6</w:t>
      </w:r>
      <w:r>
        <w:rPr>
          <w:rFonts w:hint="eastAsia" w:ascii="仿宋" w:hAnsi="仿宋" w:eastAsia="仿宋" w:cs="仿宋"/>
          <w:b w:val="0"/>
          <w:bCs/>
          <w:color w:val="auto"/>
          <w:sz w:val="24"/>
        </w:rPr>
        <w:t>回风箱和风管用吸尘器把箱（管）内的灰尘清除，然后用干净布条擦拭内壁直到干净。</w:t>
      </w:r>
    </w:p>
    <w:p w14:paraId="597FAE66">
      <w:pPr>
        <w:pStyle w:val="11"/>
        <w:ind w:firstLine="0" w:firstLineChars="0"/>
        <w:rPr>
          <w:rFonts w:hint="eastAsia" w:ascii="仿宋" w:hAnsi="仿宋" w:eastAsia="仿宋" w:cs="仿宋"/>
          <w:b w:val="0"/>
          <w:bCs/>
          <w:color w:val="auto"/>
          <w:sz w:val="24"/>
          <w:szCs w:val="24"/>
          <w:lang w:val="en-US"/>
        </w:rPr>
      </w:pPr>
      <w:r>
        <w:rPr>
          <w:rFonts w:hint="eastAsia" w:ascii="仿宋" w:hAnsi="仿宋" w:eastAsia="仿宋" w:cs="仿宋"/>
          <w:b w:val="0"/>
          <w:bCs/>
          <w:color w:val="auto"/>
          <w:sz w:val="24"/>
          <w:szCs w:val="24"/>
          <w:lang w:val="en-US" w:eastAsia="zh-CN"/>
        </w:rPr>
        <w:t>1.2.3.7</w:t>
      </w:r>
      <w:r>
        <w:rPr>
          <w:rFonts w:hint="eastAsia" w:ascii="仿宋" w:hAnsi="仿宋" w:eastAsia="仿宋" w:cs="仿宋"/>
          <w:b w:val="0"/>
          <w:bCs/>
          <w:color w:val="auto"/>
          <w:sz w:val="24"/>
          <w:szCs w:val="24"/>
          <w:lang w:val="en-US"/>
        </w:rPr>
        <w:t>对</w:t>
      </w:r>
      <w:r>
        <w:rPr>
          <w:rFonts w:hint="eastAsia" w:ascii="仿宋" w:hAnsi="仿宋" w:eastAsia="仿宋" w:cs="仿宋"/>
          <w:b w:val="0"/>
          <w:bCs/>
          <w:color w:val="auto"/>
          <w:sz w:val="24"/>
          <w:szCs w:val="24"/>
        </w:rPr>
        <w:t>空调机组的</w:t>
      </w:r>
      <w:r>
        <w:rPr>
          <w:rFonts w:hint="eastAsia" w:ascii="仿宋" w:hAnsi="仿宋" w:eastAsia="仿宋" w:cs="仿宋"/>
          <w:b w:val="0"/>
          <w:bCs/>
          <w:color w:val="auto"/>
          <w:sz w:val="24"/>
          <w:szCs w:val="24"/>
          <w:lang w:val="en-US"/>
        </w:rPr>
        <w:t>消毒装置进行拆洗，并要求在清洗消毒过程中进行相应维修。</w:t>
      </w:r>
    </w:p>
    <w:p w14:paraId="59C838CE">
      <w:pPr>
        <w:spacing w:line="336" w:lineRule="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1.2.3.8</w:t>
      </w:r>
      <w:r>
        <w:rPr>
          <w:rFonts w:hint="eastAsia" w:ascii="仿宋" w:hAnsi="仿宋" w:eastAsia="仿宋" w:cs="仿宋"/>
          <w:b w:val="0"/>
          <w:bCs/>
          <w:color w:val="auto"/>
          <w:sz w:val="24"/>
          <w:szCs w:val="24"/>
        </w:rPr>
        <w:t>清洗工作要加强对成品的保护，因清洗引起的原因造成成品损坏须按原价赔偿损失。</w:t>
      </w:r>
    </w:p>
    <w:p w14:paraId="0159321C">
      <w:pPr>
        <w:pStyle w:val="5"/>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 xml:space="preserve">1.2.4 </w:t>
      </w:r>
      <w:r>
        <w:rPr>
          <w:rFonts w:hint="eastAsia" w:ascii="仿宋" w:hAnsi="仿宋" w:eastAsia="仿宋" w:cs="仿宋"/>
          <w:b/>
          <w:bCs/>
          <w:i w:val="0"/>
          <w:iCs w:val="0"/>
          <w:color w:val="auto"/>
          <w:kern w:val="0"/>
          <w:sz w:val="24"/>
          <w:szCs w:val="24"/>
          <w:u w:val="none"/>
          <w:lang w:val="en-US" w:eastAsia="zh-CN"/>
        </w:rPr>
        <w:t>（VRV)多联机内机</w:t>
      </w:r>
    </w:p>
    <w:p w14:paraId="088CF3BD">
      <w:pPr>
        <w:spacing w:line="4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清洗前</w:t>
      </w:r>
      <w:r>
        <w:rPr>
          <w:rFonts w:hint="eastAsia" w:ascii="仿宋" w:hAnsi="仿宋" w:eastAsia="仿宋" w:cs="仿宋"/>
          <w:color w:val="auto"/>
          <w:sz w:val="24"/>
          <w:szCs w:val="24"/>
          <w:highlight w:val="none"/>
          <w:lang w:eastAsia="zh-CN"/>
        </w:rPr>
        <w:t>对</w:t>
      </w:r>
      <w:r>
        <w:rPr>
          <w:rFonts w:hint="eastAsia" w:ascii="仿宋" w:hAnsi="仿宋" w:eastAsia="仿宋" w:cs="仿宋"/>
          <w:color w:val="auto"/>
          <w:sz w:val="24"/>
          <w:szCs w:val="24"/>
          <w:highlight w:val="none"/>
        </w:rPr>
        <w:t>运行VRV</w:t>
      </w:r>
      <w:r>
        <w:rPr>
          <w:rFonts w:hint="eastAsia" w:ascii="仿宋" w:hAnsi="仿宋" w:eastAsia="仿宋" w:cs="仿宋"/>
          <w:color w:val="auto"/>
          <w:sz w:val="24"/>
          <w:szCs w:val="24"/>
          <w:highlight w:val="none"/>
          <w:lang w:val="en-US" w:eastAsia="zh-CN"/>
        </w:rPr>
        <w:t>多联内机</w:t>
      </w:r>
      <w:r>
        <w:rPr>
          <w:rFonts w:hint="eastAsia" w:ascii="仿宋" w:hAnsi="仿宋" w:eastAsia="仿宋" w:cs="仿宋"/>
          <w:color w:val="auto"/>
          <w:sz w:val="24"/>
          <w:szCs w:val="24"/>
          <w:highlight w:val="none"/>
        </w:rPr>
        <w:t>检查是否有异响或噪音，做好记录，如有异响或噪音进行修理（需更换材料由</w:t>
      </w:r>
      <w:r>
        <w:rPr>
          <w:rFonts w:hint="eastAsia" w:ascii="仿宋" w:hAnsi="仿宋" w:eastAsia="仿宋" w:cs="仿宋"/>
          <w:color w:val="auto"/>
          <w:sz w:val="24"/>
          <w:szCs w:val="24"/>
          <w:highlight w:val="none"/>
          <w:lang w:eastAsia="zh-CN"/>
        </w:rPr>
        <w:t>招标人</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eastAsia="zh-CN"/>
        </w:rPr>
        <w:t>。</w:t>
      </w:r>
    </w:p>
    <w:p w14:paraId="09022D32">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2）对出风口、回风口和回风过滤网等首按要求彻底清洗并消毒处理，</w:t>
      </w:r>
      <w:r>
        <w:rPr>
          <w:rFonts w:hint="eastAsia" w:ascii="仿宋" w:hAnsi="仿宋" w:eastAsia="仿宋" w:cs="仿宋"/>
          <w:i w:val="0"/>
          <w:iCs w:val="0"/>
          <w:color w:val="auto"/>
          <w:kern w:val="0"/>
          <w:sz w:val="24"/>
          <w:szCs w:val="24"/>
          <w:u w:val="none"/>
          <w:lang w:val="en-US" w:eastAsia="zh-CN"/>
        </w:rPr>
        <w:t>后三次对滤网进行清洗</w:t>
      </w:r>
      <w:r>
        <w:rPr>
          <w:rFonts w:hint="eastAsia" w:ascii="仿宋" w:hAnsi="仿宋" w:eastAsia="仿宋" w:cs="仿宋"/>
          <w:color w:val="auto"/>
          <w:kern w:val="2"/>
          <w:sz w:val="24"/>
          <w:szCs w:val="24"/>
          <w:highlight w:val="none"/>
          <w:lang w:val="en-US" w:eastAsia="zh-CN" w:bidi="ar-SA"/>
        </w:rPr>
        <w:t>。</w:t>
      </w:r>
    </w:p>
    <w:p w14:paraId="576149F9">
      <w:pPr>
        <w:spacing w:line="40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eastAsia="zh-CN"/>
        </w:rPr>
        <w:t>二</w:t>
      </w:r>
      <w:r>
        <w:rPr>
          <w:rFonts w:hint="eastAsia" w:ascii="仿宋" w:hAnsi="仿宋" w:eastAsia="仿宋" w:cs="仿宋"/>
          <w:b/>
          <w:color w:val="auto"/>
          <w:sz w:val="24"/>
          <w:szCs w:val="24"/>
          <w:highlight w:val="none"/>
        </w:rPr>
        <w:t>）分体式（壁挂机、立式机）</w:t>
      </w:r>
    </w:p>
    <w:p w14:paraId="3640DEEC">
      <w:pPr>
        <w:spacing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1.清洗消毒一年</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次，</w:t>
      </w:r>
      <w:r>
        <w:rPr>
          <w:rFonts w:hint="eastAsia" w:ascii="仿宋" w:hAnsi="仿宋" w:eastAsia="仿宋" w:cs="仿宋"/>
          <w:i w:val="0"/>
          <w:iCs w:val="0"/>
          <w:color w:val="auto"/>
          <w:kern w:val="0"/>
          <w:sz w:val="24"/>
          <w:szCs w:val="24"/>
          <w:u w:val="none"/>
          <w:lang w:val="en-US" w:eastAsia="zh-CN"/>
        </w:rPr>
        <w:t>首次对按要求彻底清洗并消毒处理，后一次对滤网进行清洗</w:t>
      </w:r>
      <w:r>
        <w:rPr>
          <w:rFonts w:hint="eastAsia" w:ascii="仿宋" w:hAnsi="仿宋" w:eastAsia="仿宋" w:cs="仿宋"/>
          <w:color w:val="auto"/>
          <w:sz w:val="24"/>
          <w:szCs w:val="24"/>
          <w:highlight w:val="none"/>
        </w:rPr>
        <w:t>。</w:t>
      </w:r>
    </w:p>
    <w:p w14:paraId="43143D43">
      <w:pPr>
        <w:keepNext w:val="0"/>
        <w:keepLines w:val="0"/>
        <w:pageBreakBefore w:val="0"/>
        <w:widowControl w:val="0"/>
        <w:kinsoku/>
        <w:wordWrap/>
        <w:overflowPunct/>
        <w:topLinePunct w:val="0"/>
        <w:autoSpaceDE/>
        <w:autoSpaceDN w:val="0"/>
        <w:bidi w:val="0"/>
        <w:snapToGrid/>
        <w:spacing w:line="360" w:lineRule="auto"/>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 xml:space="preserve">1.1 </w:t>
      </w:r>
      <w:r>
        <w:rPr>
          <w:rFonts w:hint="eastAsia" w:ascii="仿宋" w:hAnsi="仿宋" w:eastAsia="仿宋" w:cs="仿宋"/>
          <w:b/>
          <w:color w:val="auto"/>
          <w:kern w:val="0"/>
          <w:sz w:val="24"/>
          <w:szCs w:val="24"/>
          <w:highlight w:val="none"/>
        </w:rPr>
        <w:t>冷却塔</w:t>
      </w:r>
    </w:p>
    <w:p w14:paraId="4D309DAD">
      <w:pPr>
        <w:keepNext w:val="0"/>
        <w:keepLines w:val="0"/>
        <w:pageBreakBefore w:val="0"/>
        <w:widowControl w:val="0"/>
        <w:kinsoku/>
        <w:wordWrap/>
        <w:overflowPunct/>
        <w:topLinePunct w:val="0"/>
        <w:autoSpaceDE/>
        <w:autoSpaceDN w:val="0"/>
        <w:bidi w:val="0"/>
        <w:snapToGrid/>
        <w:spacing w:line="360" w:lineRule="auto"/>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1.1.1</w:t>
      </w:r>
      <w:r>
        <w:rPr>
          <w:rFonts w:hint="eastAsia" w:ascii="仿宋" w:hAnsi="仿宋" w:eastAsia="仿宋" w:cs="仿宋"/>
          <w:color w:val="auto"/>
          <w:kern w:val="0"/>
          <w:sz w:val="24"/>
          <w:szCs w:val="24"/>
          <w:highlight w:val="none"/>
        </w:rPr>
        <w:t>清洗内容包括：底盘和外表面、填料、集水盘、布水系统、除藻、除垢。</w:t>
      </w:r>
    </w:p>
    <w:p w14:paraId="5E035B75">
      <w:pPr>
        <w:keepNext w:val="0"/>
        <w:keepLines w:val="0"/>
        <w:widowControl/>
        <w:suppressLineNumbers w:val="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highlight w:val="none"/>
        </w:rPr>
        <w:t>经</w:t>
      </w:r>
      <w:r>
        <w:rPr>
          <w:rFonts w:hint="eastAsia" w:ascii="仿宋" w:hAnsi="仿宋" w:eastAsia="仿宋" w:cs="仿宋"/>
          <w:color w:val="auto"/>
          <w:kern w:val="0"/>
          <w:sz w:val="24"/>
          <w:highlight w:val="none"/>
          <w:lang w:val="en-US" w:eastAsia="zh-CN"/>
        </w:rPr>
        <w:t>清洗</w:t>
      </w:r>
      <w:r>
        <w:rPr>
          <w:rFonts w:hint="eastAsia" w:ascii="仿宋" w:hAnsi="仿宋" w:eastAsia="仿宋" w:cs="仿宋"/>
          <w:color w:val="auto"/>
          <w:kern w:val="0"/>
          <w:sz w:val="24"/>
          <w:szCs w:val="24"/>
          <w:highlight w:val="none"/>
        </w:rPr>
        <w:t>后，系统运行水质控制在国家标准</w:t>
      </w:r>
      <w:r>
        <w:rPr>
          <w:rFonts w:hint="eastAsia" w:ascii="仿宋" w:hAnsi="仿宋" w:eastAsia="仿宋" w:cs="仿宋"/>
          <w:color w:val="auto"/>
          <w:kern w:val="0"/>
          <w:sz w:val="24"/>
          <w:szCs w:val="24"/>
          <w:highlight w:val="none"/>
          <w:lang w:val="en-US" w:eastAsia="zh-CN"/>
        </w:rPr>
        <w:t>GB/</w:t>
      </w:r>
      <w:r>
        <w:rPr>
          <w:rFonts w:hint="default" w:ascii="仿宋" w:hAnsi="仿宋" w:eastAsia="仿宋" w:cs="仿宋"/>
          <w:color w:val="auto"/>
          <w:kern w:val="0"/>
          <w:sz w:val="24"/>
          <w:szCs w:val="24"/>
          <w:highlight w:val="none"/>
          <w:lang w:val="en-US" w:eastAsia="zh-CN"/>
        </w:rPr>
        <w:t>T29044—2012</w:t>
      </w:r>
      <w:r>
        <w:rPr>
          <w:rFonts w:hint="eastAsia" w:ascii="仿宋" w:hAnsi="仿宋" w:eastAsia="仿宋" w:cs="仿宋"/>
          <w:color w:val="auto"/>
          <w:kern w:val="0"/>
          <w:sz w:val="24"/>
          <w:szCs w:val="24"/>
          <w:highlight w:val="none"/>
        </w:rPr>
        <w:t>规定的专用空调水质标准范围内。</w:t>
      </w:r>
    </w:p>
    <w:p w14:paraId="4AFEF5F8">
      <w:pPr>
        <w:spacing w:before="192" w:line="197" w:lineRule="auto"/>
        <w:ind w:left="2160"/>
        <w:rPr>
          <w:rFonts w:ascii="黑体" w:hAnsi="黑体" w:eastAsia="黑体" w:cs="黑体"/>
          <w:color w:val="auto"/>
          <w:sz w:val="19"/>
          <w:szCs w:val="19"/>
        </w:rPr>
      </w:pPr>
      <w:r>
        <w:rPr>
          <w:rFonts w:ascii="黑体" w:hAnsi="黑体" w:eastAsia="黑体" w:cs="黑体"/>
          <w:color w:val="auto"/>
          <w:spacing w:val="15"/>
          <w:sz w:val="19"/>
          <w:szCs w:val="19"/>
        </w:rPr>
        <w:t xml:space="preserve">表 </w:t>
      </w:r>
      <w:r>
        <w:rPr>
          <w:rFonts w:ascii="微软雅黑" w:hAnsi="微软雅黑" w:eastAsia="微软雅黑" w:cs="微软雅黑"/>
          <w:color w:val="auto"/>
          <w:spacing w:val="15"/>
          <w:position w:val="-2"/>
          <w:sz w:val="19"/>
          <w:szCs w:val="19"/>
        </w:rPr>
        <w:t xml:space="preserve">1   </w:t>
      </w:r>
      <w:r>
        <w:rPr>
          <w:rFonts w:ascii="黑体" w:hAnsi="黑体" w:eastAsia="黑体" w:cs="黑体"/>
          <w:color w:val="auto"/>
          <w:spacing w:val="15"/>
          <w:sz w:val="19"/>
          <w:szCs w:val="19"/>
        </w:rPr>
        <w:t>集中空调间接供冷开式循环冷却水系统水质要求</w:t>
      </w:r>
    </w:p>
    <w:p w14:paraId="4BBBA67B">
      <w:pPr>
        <w:spacing w:line="188" w:lineRule="exact"/>
        <w:rPr>
          <w:color w:val="auto"/>
        </w:rPr>
      </w:pPr>
    </w:p>
    <w:tbl>
      <w:tblPr>
        <w:tblStyle w:val="14"/>
        <w:tblW w:w="9247" w:type="dxa"/>
        <w:tblInd w:w="7"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424"/>
        <w:gridCol w:w="2311"/>
        <w:gridCol w:w="1081"/>
        <w:gridCol w:w="1802"/>
        <w:gridCol w:w="3629"/>
      </w:tblGrid>
      <w:tr w14:paraId="7A3AACA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PrEx>
        <w:trPr>
          <w:trHeight w:val="316" w:hRule="atLeast"/>
        </w:trPr>
        <w:tc>
          <w:tcPr>
            <w:tcW w:w="2735" w:type="dxa"/>
            <w:gridSpan w:val="2"/>
            <w:tcBorders>
              <w:top w:val="single" w:color="231F20" w:sz="6" w:space="0"/>
              <w:left w:val="single" w:color="231F20" w:sz="6" w:space="0"/>
              <w:bottom w:val="single" w:color="231F20" w:sz="6" w:space="0"/>
            </w:tcBorders>
          </w:tcPr>
          <w:p w14:paraId="36B99F79">
            <w:pPr>
              <w:pStyle w:val="13"/>
              <w:spacing w:before="70" w:line="180" w:lineRule="auto"/>
              <w:ind w:left="1112"/>
              <w:rPr>
                <w:color w:val="auto"/>
              </w:rPr>
            </w:pPr>
            <w:r>
              <w:rPr>
                <w:color w:val="auto"/>
                <w:spacing w:val="13"/>
              </w:rPr>
              <w:t>检测项</w:t>
            </w:r>
          </w:p>
        </w:tc>
        <w:tc>
          <w:tcPr>
            <w:tcW w:w="1081" w:type="dxa"/>
            <w:tcBorders>
              <w:top w:val="single" w:color="231F20" w:sz="6" w:space="0"/>
              <w:bottom w:val="single" w:color="231F20" w:sz="6" w:space="0"/>
            </w:tcBorders>
          </w:tcPr>
          <w:p w14:paraId="266656B0">
            <w:pPr>
              <w:pStyle w:val="13"/>
              <w:spacing w:before="69" w:line="185" w:lineRule="auto"/>
              <w:ind w:left="366"/>
              <w:rPr>
                <w:color w:val="auto"/>
              </w:rPr>
            </w:pPr>
            <w:r>
              <w:rPr>
                <w:color w:val="auto"/>
                <w:spacing w:val="11"/>
              </w:rPr>
              <w:t>单位</w:t>
            </w:r>
          </w:p>
        </w:tc>
        <w:tc>
          <w:tcPr>
            <w:tcW w:w="1802" w:type="dxa"/>
            <w:tcBorders>
              <w:top w:val="single" w:color="231F20" w:sz="6" w:space="0"/>
              <w:bottom w:val="single" w:color="231F20" w:sz="6" w:space="0"/>
            </w:tcBorders>
          </w:tcPr>
          <w:p w14:paraId="478289B0">
            <w:pPr>
              <w:pStyle w:val="13"/>
              <w:spacing w:before="70" w:line="183" w:lineRule="auto"/>
              <w:ind w:left="639"/>
              <w:rPr>
                <w:color w:val="auto"/>
              </w:rPr>
            </w:pPr>
            <w:r>
              <w:rPr>
                <w:color w:val="auto"/>
                <w:spacing w:val="13"/>
              </w:rPr>
              <w:t>补充水</w:t>
            </w:r>
          </w:p>
        </w:tc>
        <w:tc>
          <w:tcPr>
            <w:tcW w:w="3629" w:type="dxa"/>
            <w:tcBorders>
              <w:top w:val="single" w:color="231F20" w:sz="6" w:space="0"/>
              <w:bottom w:val="single" w:color="231F20" w:sz="6" w:space="0"/>
              <w:right w:val="single" w:color="231F20" w:sz="6" w:space="0"/>
            </w:tcBorders>
          </w:tcPr>
          <w:p w14:paraId="052AC5DD">
            <w:pPr>
              <w:pStyle w:val="13"/>
              <w:spacing w:before="71" w:line="183" w:lineRule="auto"/>
              <w:ind w:left="1552"/>
              <w:rPr>
                <w:color w:val="auto"/>
              </w:rPr>
            </w:pPr>
            <w:r>
              <w:rPr>
                <w:color w:val="auto"/>
                <w:spacing w:val="14"/>
              </w:rPr>
              <w:t>循环水</w:t>
            </w:r>
          </w:p>
        </w:tc>
      </w:tr>
      <w:tr w14:paraId="1E27694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08" w:hRule="atLeast"/>
        </w:trPr>
        <w:tc>
          <w:tcPr>
            <w:tcW w:w="2735" w:type="dxa"/>
            <w:gridSpan w:val="2"/>
            <w:tcBorders>
              <w:top w:val="single" w:color="231F20" w:sz="6" w:space="0"/>
              <w:left w:val="single" w:color="231F20" w:sz="6" w:space="0"/>
            </w:tcBorders>
          </w:tcPr>
          <w:p w14:paraId="072FDF9C">
            <w:pPr>
              <w:pStyle w:val="13"/>
              <w:spacing w:before="74" w:line="167" w:lineRule="auto"/>
              <w:ind w:left="963"/>
              <w:rPr>
                <w:color w:val="auto"/>
              </w:rPr>
            </w:pPr>
            <w:r>
              <w:rPr>
                <w:color w:val="auto"/>
              </w:rPr>
              <w:t>pH</w:t>
            </w:r>
            <w:r>
              <w:rPr>
                <w:color w:val="auto"/>
                <w:spacing w:val="18"/>
              </w:rPr>
              <w:t>(25</w:t>
            </w:r>
            <w:r>
              <w:rPr>
                <w:color w:val="auto"/>
                <w:spacing w:val="-3"/>
              </w:rPr>
              <w:t xml:space="preserve"> </w:t>
            </w:r>
            <w:r>
              <w:rPr>
                <w:color w:val="auto"/>
                <w:spacing w:val="18"/>
              </w:rPr>
              <w:t>℃)</w:t>
            </w:r>
          </w:p>
        </w:tc>
        <w:tc>
          <w:tcPr>
            <w:tcW w:w="1081" w:type="dxa"/>
            <w:tcBorders>
              <w:top w:val="single" w:color="231F20" w:sz="6" w:space="0"/>
            </w:tcBorders>
          </w:tcPr>
          <w:p w14:paraId="1A08FEDF">
            <w:pPr>
              <w:rPr>
                <w:rFonts w:ascii="Arial"/>
                <w:color w:val="auto"/>
                <w:sz w:val="21"/>
              </w:rPr>
            </w:pPr>
          </w:p>
        </w:tc>
        <w:tc>
          <w:tcPr>
            <w:tcW w:w="1802" w:type="dxa"/>
            <w:tcBorders>
              <w:top w:val="single" w:color="231F20" w:sz="6" w:space="0"/>
            </w:tcBorders>
          </w:tcPr>
          <w:p w14:paraId="685A4003">
            <w:pPr>
              <w:pStyle w:val="13"/>
              <w:spacing w:before="86" w:line="169" w:lineRule="auto"/>
              <w:ind w:left="555"/>
              <w:rPr>
                <w:color w:val="auto"/>
              </w:rPr>
            </w:pPr>
            <w:r>
              <w:rPr>
                <w:color w:val="auto"/>
                <w:spacing w:val="3"/>
              </w:rPr>
              <w:t>6.</w:t>
            </w:r>
            <w:r>
              <w:rPr>
                <w:color w:val="auto"/>
                <w:spacing w:val="14"/>
                <w:w w:val="101"/>
              </w:rPr>
              <w:t xml:space="preserve"> </w:t>
            </w:r>
            <w:r>
              <w:rPr>
                <w:color w:val="auto"/>
                <w:spacing w:val="3"/>
              </w:rPr>
              <w:t>5~</w:t>
            </w:r>
            <w:r>
              <w:rPr>
                <w:color w:val="auto"/>
                <w:spacing w:val="-26"/>
              </w:rPr>
              <w:t xml:space="preserve"> </w:t>
            </w:r>
            <w:r>
              <w:rPr>
                <w:color w:val="auto"/>
                <w:spacing w:val="3"/>
              </w:rPr>
              <w:t>8.</w:t>
            </w:r>
            <w:r>
              <w:rPr>
                <w:color w:val="auto"/>
                <w:spacing w:val="13"/>
                <w:w w:val="101"/>
              </w:rPr>
              <w:t xml:space="preserve"> </w:t>
            </w:r>
            <w:r>
              <w:rPr>
                <w:color w:val="auto"/>
                <w:spacing w:val="3"/>
              </w:rPr>
              <w:t>5</w:t>
            </w:r>
          </w:p>
        </w:tc>
        <w:tc>
          <w:tcPr>
            <w:tcW w:w="3629" w:type="dxa"/>
            <w:tcBorders>
              <w:top w:val="single" w:color="231F20" w:sz="6" w:space="0"/>
              <w:right w:val="single" w:color="231F20" w:sz="6" w:space="0"/>
            </w:tcBorders>
          </w:tcPr>
          <w:p w14:paraId="3BB47663">
            <w:pPr>
              <w:pStyle w:val="13"/>
              <w:spacing w:before="87" w:line="168" w:lineRule="auto"/>
              <w:ind w:left="1470"/>
              <w:rPr>
                <w:color w:val="auto"/>
              </w:rPr>
            </w:pPr>
            <w:r>
              <w:rPr>
                <w:color w:val="auto"/>
                <w:spacing w:val="3"/>
              </w:rPr>
              <w:t>7.</w:t>
            </w:r>
            <w:r>
              <w:rPr>
                <w:color w:val="auto"/>
                <w:spacing w:val="13"/>
              </w:rPr>
              <w:t xml:space="preserve"> </w:t>
            </w:r>
            <w:r>
              <w:rPr>
                <w:color w:val="auto"/>
                <w:spacing w:val="3"/>
              </w:rPr>
              <w:t>5~</w:t>
            </w:r>
            <w:r>
              <w:rPr>
                <w:color w:val="auto"/>
                <w:spacing w:val="-24"/>
              </w:rPr>
              <w:t xml:space="preserve"> </w:t>
            </w:r>
            <w:r>
              <w:rPr>
                <w:color w:val="auto"/>
                <w:spacing w:val="3"/>
              </w:rPr>
              <w:t>9.</w:t>
            </w:r>
            <w:r>
              <w:rPr>
                <w:color w:val="auto"/>
                <w:spacing w:val="13"/>
                <w:w w:val="101"/>
              </w:rPr>
              <w:t xml:space="preserve"> </w:t>
            </w:r>
            <w:r>
              <w:rPr>
                <w:color w:val="auto"/>
                <w:spacing w:val="3"/>
              </w:rPr>
              <w:t>5</w:t>
            </w:r>
          </w:p>
        </w:tc>
      </w:tr>
      <w:tr w14:paraId="4E32E15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0" w:hRule="atLeast"/>
        </w:trPr>
        <w:tc>
          <w:tcPr>
            <w:tcW w:w="2735" w:type="dxa"/>
            <w:gridSpan w:val="2"/>
            <w:vMerge w:val="restart"/>
            <w:tcBorders>
              <w:left w:val="single" w:color="231F20" w:sz="6" w:space="0"/>
              <w:bottom w:val="nil"/>
            </w:tcBorders>
          </w:tcPr>
          <w:p w14:paraId="780368C2">
            <w:pPr>
              <w:spacing w:line="294" w:lineRule="auto"/>
              <w:rPr>
                <w:rFonts w:ascii="Arial"/>
                <w:color w:val="auto"/>
                <w:sz w:val="21"/>
              </w:rPr>
            </w:pPr>
          </w:p>
          <w:p w14:paraId="42DF9E93">
            <w:pPr>
              <w:pStyle w:val="13"/>
              <w:spacing w:before="69" w:line="181" w:lineRule="auto"/>
              <w:ind w:left="1202"/>
              <w:rPr>
                <w:color w:val="auto"/>
              </w:rPr>
            </w:pPr>
            <w:r>
              <w:rPr>
                <w:color w:val="auto"/>
                <w:spacing w:val="10"/>
              </w:rPr>
              <w:t>浊度</w:t>
            </w:r>
          </w:p>
        </w:tc>
        <w:tc>
          <w:tcPr>
            <w:tcW w:w="1081" w:type="dxa"/>
            <w:vMerge w:val="restart"/>
            <w:tcBorders>
              <w:bottom w:val="nil"/>
            </w:tcBorders>
          </w:tcPr>
          <w:p w14:paraId="5F1E6816">
            <w:pPr>
              <w:spacing w:line="312" w:lineRule="auto"/>
              <w:rPr>
                <w:rFonts w:ascii="Arial"/>
                <w:color w:val="auto"/>
                <w:sz w:val="21"/>
              </w:rPr>
            </w:pPr>
          </w:p>
          <w:p w14:paraId="7B46B8DB">
            <w:pPr>
              <w:pStyle w:val="13"/>
              <w:spacing w:before="69" w:line="170" w:lineRule="auto"/>
              <w:ind w:left="347"/>
              <w:rPr>
                <w:color w:val="auto"/>
              </w:rPr>
            </w:pPr>
            <w:r>
              <w:rPr>
                <w:color w:val="auto"/>
                <w:spacing w:val="22"/>
              </w:rPr>
              <w:t>NTU</w:t>
            </w:r>
          </w:p>
        </w:tc>
        <w:tc>
          <w:tcPr>
            <w:tcW w:w="1802" w:type="dxa"/>
            <w:vMerge w:val="restart"/>
            <w:tcBorders>
              <w:bottom w:val="nil"/>
            </w:tcBorders>
          </w:tcPr>
          <w:p w14:paraId="283F81FE">
            <w:pPr>
              <w:spacing w:line="296" w:lineRule="auto"/>
              <w:rPr>
                <w:rFonts w:ascii="Arial"/>
                <w:color w:val="auto"/>
                <w:sz w:val="21"/>
              </w:rPr>
            </w:pPr>
          </w:p>
          <w:p w14:paraId="27D026C8">
            <w:pPr>
              <w:pStyle w:val="13"/>
              <w:spacing w:before="69" w:line="192" w:lineRule="auto"/>
              <w:ind w:left="728"/>
              <w:rPr>
                <w:color w:val="auto"/>
              </w:rPr>
            </w:pPr>
            <w:r>
              <w:rPr>
                <w:color w:val="auto"/>
                <w:spacing w:val="28"/>
              </w:rPr>
              <w:t>≤10</w:t>
            </w:r>
          </w:p>
        </w:tc>
        <w:tc>
          <w:tcPr>
            <w:tcW w:w="3629" w:type="dxa"/>
            <w:tcBorders>
              <w:right w:val="single" w:color="231F20" w:sz="6" w:space="0"/>
            </w:tcBorders>
          </w:tcPr>
          <w:p w14:paraId="7284CAB3">
            <w:pPr>
              <w:pStyle w:val="13"/>
              <w:spacing w:before="78" w:line="192" w:lineRule="auto"/>
              <w:ind w:left="1643"/>
              <w:rPr>
                <w:color w:val="auto"/>
              </w:rPr>
            </w:pPr>
            <w:r>
              <w:rPr>
                <w:color w:val="auto"/>
                <w:spacing w:val="23"/>
                <w:w w:val="104"/>
              </w:rPr>
              <w:t>≤20</w:t>
            </w:r>
          </w:p>
        </w:tc>
      </w:tr>
      <w:tr w14:paraId="09F6D23A">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70" w:hRule="atLeast"/>
        </w:trPr>
        <w:tc>
          <w:tcPr>
            <w:tcW w:w="2735" w:type="dxa"/>
            <w:gridSpan w:val="2"/>
            <w:vMerge w:val="continue"/>
            <w:tcBorders>
              <w:top w:val="nil"/>
              <w:left w:val="single" w:color="231F20" w:sz="6" w:space="0"/>
            </w:tcBorders>
          </w:tcPr>
          <w:p w14:paraId="100793BF">
            <w:pPr>
              <w:rPr>
                <w:rFonts w:ascii="Arial"/>
                <w:color w:val="auto"/>
                <w:sz w:val="21"/>
              </w:rPr>
            </w:pPr>
          </w:p>
        </w:tc>
        <w:tc>
          <w:tcPr>
            <w:tcW w:w="1081" w:type="dxa"/>
            <w:vMerge w:val="continue"/>
            <w:tcBorders>
              <w:top w:val="nil"/>
            </w:tcBorders>
          </w:tcPr>
          <w:p w14:paraId="2795C3A6">
            <w:pPr>
              <w:rPr>
                <w:rFonts w:ascii="Arial"/>
                <w:color w:val="auto"/>
                <w:sz w:val="21"/>
              </w:rPr>
            </w:pPr>
          </w:p>
        </w:tc>
        <w:tc>
          <w:tcPr>
            <w:tcW w:w="1802" w:type="dxa"/>
            <w:vMerge w:val="continue"/>
            <w:tcBorders>
              <w:top w:val="nil"/>
            </w:tcBorders>
          </w:tcPr>
          <w:p w14:paraId="24BD6DF8">
            <w:pPr>
              <w:rPr>
                <w:rFonts w:ascii="Arial"/>
                <w:color w:val="auto"/>
                <w:sz w:val="21"/>
              </w:rPr>
            </w:pPr>
          </w:p>
        </w:tc>
        <w:tc>
          <w:tcPr>
            <w:tcW w:w="3629" w:type="dxa"/>
            <w:tcBorders>
              <w:right w:val="single" w:color="231F20" w:sz="6" w:space="0"/>
            </w:tcBorders>
          </w:tcPr>
          <w:p w14:paraId="44465CE6">
            <w:pPr>
              <w:pStyle w:val="13"/>
              <w:spacing w:before="61" w:line="192" w:lineRule="auto"/>
              <w:ind w:left="1643"/>
              <w:rPr>
                <w:color w:val="auto"/>
              </w:rPr>
            </w:pPr>
            <w:r>
              <w:rPr>
                <w:color w:val="auto"/>
                <w:spacing w:val="28"/>
              </w:rPr>
              <w:t>≤10</w:t>
            </w:r>
          </w:p>
          <w:p w14:paraId="6854394C">
            <w:pPr>
              <w:pStyle w:val="13"/>
              <w:spacing w:before="54" w:line="196" w:lineRule="auto"/>
              <w:ind w:left="214"/>
              <w:rPr>
                <w:color w:val="auto"/>
              </w:rPr>
            </w:pPr>
            <w:r>
              <w:rPr>
                <w:color w:val="auto"/>
                <w:spacing w:val="8"/>
              </w:rPr>
              <w:t>(当换热设备为板式</w:t>
            </w:r>
            <w:r>
              <w:rPr>
                <w:color w:val="auto"/>
                <w:spacing w:val="-14"/>
              </w:rPr>
              <w:t xml:space="preserve"> </w:t>
            </w:r>
            <w:r>
              <w:rPr>
                <w:color w:val="auto"/>
                <w:spacing w:val="8"/>
              </w:rPr>
              <w:t>、翅片管式</w:t>
            </w:r>
            <w:r>
              <w:rPr>
                <w:color w:val="auto"/>
                <w:spacing w:val="-22"/>
              </w:rPr>
              <w:t xml:space="preserve"> </w:t>
            </w:r>
            <w:r>
              <w:rPr>
                <w:color w:val="auto"/>
                <w:spacing w:val="8"/>
              </w:rPr>
              <w:t>、螺旋板式)</w:t>
            </w:r>
          </w:p>
        </w:tc>
      </w:tr>
      <w:tr w14:paraId="2164ABC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0" w:hRule="atLeast"/>
        </w:trPr>
        <w:tc>
          <w:tcPr>
            <w:tcW w:w="2735" w:type="dxa"/>
            <w:gridSpan w:val="2"/>
            <w:tcBorders>
              <w:left w:val="single" w:color="231F20" w:sz="6" w:space="0"/>
            </w:tcBorders>
          </w:tcPr>
          <w:p w14:paraId="5C76B5B6">
            <w:pPr>
              <w:pStyle w:val="13"/>
              <w:spacing w:before="76" w:line="180" w:lineRule="auto"/>
              <w:ind w:left="828"/>
              <w:rPr>
                <w:color w:val="auto"/>
              </w:rPr>
            </w:pPr>
            <w:r>
              <w:rPr>
                <w:color w:val="auto"/>
                <w:spacing w:val="15"/>
              </w:rPr>
              <w:t>电导率(25</w:t>
            </w:r>
            <w:r>
              <w:rPr>
                <w:color w:val="auto"/>
                <w:spacing w:val="-4"/>
              </w:rPr>
              <w:t xml:space="preserve"> </w:t>
            </w:r>
            <w:r>
              <w:rPr>
                <w:color w:val="auto"/>
                <w:spacing w:val="15"/>
              </w:rPr>
              <w:t>℃)</w:t>
            </w:r>
          </w:p>
        </w:tc>
        <w:tc>
          <w:tcPr>
            <w:tcW w:w="1081" w:type="dxa"/>
          </w:tcPr>
          <w:p w14:paraId="14991232">
            <w:pPr>
              <w:pStyle w:val="13"/>
              <w:spacing w:before="84" w:line="184" w:lineRule="auto"/>
              <w:ind w:left="294"/>
              <w:rPr>
                <w:color w:val="auto"/>
              </w:rPr>
            </w:pPr>
            <w:r>
              <w:rPr>
                <w:color w:val="auto"/>
                <w:spacing w:val="19"/>
              </w:rPr>
              <w:t>μS/</w:t>
            </w:r>
            <w:r>
              <w:rPr>
                <w:color w:val="auto"/>
              </w:rPr>
              <w:t>cm</w:t>
            </w:r>
          </w:p>
        </w:tc>
        <w:tc>
          <w:tcPr>
            <w:tcW w:w="1802" w:type="dxa"/>
          </w:tcPr>
          <w:p w14:paraId="4B4595FC">
            <w:pPr>
              <w:pStyle w:val="13"/>
              <w:spacing w:before="80" w:line="192" w:lineRule="auto"/>
              <w:ind w:left="683"/>
              <w:rPr>
                <w:color w:val="auto"/>
              </w:rPr>
            </w:pPr>
            <w:r>
              <w:rPr>
                <w:color w:val="auto"/>
                <w:spacing w:val="20"/>
              </w:rPr>
              <w:t>≤600</w:t>
            </w:r>
          </w:p>
        </w:tc>
        <w:tc>
          <w:tcPr>
            <w:tcW w:w="3629" w:type="dxa"/>
            <w:tcBorders>
              <w:right w:val="single" w:color="231F20" w:sz="6" w:space="0"/>
            </w:tcBorders>
          </w:tcPr>
          <w:p w14:paraId="7A238E84">
            <w:pPr>
              <w:pStyle w:val="13"/>
              <w:spacing w:before="80" w:line="192" w:lineRule="auto"/>
              <w:ind w:left="1522"/>
              <w:rPr>
                <w:color w:val="auto"/>
              </w:rPr>
            </w:pPr>
            <w:r>
              <w:rPr>
                <w:color w:val="auto"/>
                <w:spacing w:val="19"/>
              </w:rPr>
              <w:t>≤2</w:t>
            </w:r>
            <w:r>
              <w:rPr>
                <w:color w:val="auto"/>
                <w:spacing w:val="-8"/>
              </w:rPr>
              <w:t xml:space="preserve"> </w:t>
            </w:r>
            <w:r>
              <w:rPr>
                <w:color w:val="auto"/>
                <w:spacing w:val="19"/>
              </w:rPr>
              <w:t>300</w:t>
            </w:r>
          </w:p>
        </w:tc>
      </w:tr>
      <w:tr w14:paraId="1AF77DB8">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8" w:hRule="atLeast"/>
        </w:trPr>
        <w:tc>
          <w:tcPr>
            <w:tcW w:w="424" w:type="dxa"/>
            <w:tcBorders>
              <w:left w:val="single" w:color="231F20" w:sz="6" w:space="0"/>
              <w:right w:val="nil"/>
            </w:tcBorders>
          </w:tcPr>
          <w:p w14:paraId="4C011CE4">
            <w:pPr>
              <w:rPr>
                <w:rFonts w:ascii="Arial"/>
                <w:color w:val="auto"/>
                <w:sz w:val="21"/>
              </w:rPr>
            </w:pPr>
            <w:r>
              <w:rPr>
                <w:color w:val="auto"/>
              </w:rPr>
              <w:drawing>
                <wp:anchor distT="0" distB="0" distL="0" distR="0" simplePos="0" relativeHeight="251659264" behindDoc="0" locked="0" layoutInCell="1" allowOverlap="1">
                  <wp:simplePos x="0" y="0"/>
                  <wp:positionH relativeFrom="rightMargin">
                    <wp:posOffset>-273685</wp:posOffset>
                  </wp:positionH>
                  <wp:positionV relativeFrom="topMargin">
                    <wp:posOffset>-59055</wp:posOffset>
                  </wp:positionV>
                  <wp:extent cx="190500" cy="190500"/>
                  <wp:effectExtent l="0" t="0" r="0" b="0"/>
                  <wp:wrapNone/>
                  <wp:docPr id="1026" name="IM 12"/>
                  <wp:cNvGraphicFramePr/>
                  <a:graphic xmlns:a="http://schemas.openxmlformats.org/drawingml/2006/main">
                    <a:graphicData uri="http://schemas.openxmlformats.org/drawingml/2006/picture">
                      <pic:pic xmlns:pic="http://schemas.openxmlformats.org/drawingml/2006/picture">
                        <pic:nvPicPr>
                          <pic:cNvPr id="1026" name="IM 12"/>
                          <pic:cNvPicPr/>
                        </pic:nvPicPr>
                        <pic:blipFill>
                          <a:blip r:embed="rId4" cstate="print"/>
                          <a:srcRect/>
                          <a:stretch>
                            <a:fillRect/>
                          </a:stretch>
                        </pic:blipFill>
                        <pic:spPr>
                          <a:xfrm>
                            <a:off x="0" y="0"/>
                            <a:ext cx="190500" cy="190500"/>
                          </a:xfrm>
                          <a:prstGeom prst="rect">
                            <a:avLst/>
                          </a:prstGeom>
                        </pic:spPr>
                      </pic:pic>
                    </a:graphicData>
                  </a:graphic>
                </wp:anchor>
              </w:drawing>
            </w:r>
          </w:p>
        </w:tc>
        <w:tc>
          <w:tcPr>
            <w:tcW w:w="2311" w:type="dxa"/>
            <w:tcBorders>
              <w:left w:val="nil"/>
            </w:tcBorders>
          </w:tcPr>
          <w:p w14:paraId="0A91386A">
            <w:pPr>
              <w:pStyle w:val="13"/>
              <w:spacing w:before="74" w:line="179" w:lineRule="auto"/>
              <w:ind w:left="117"/>
              <w:rPr>
                <w:color w:val="auto"/>
              </w:rPr>
            </w:pPr>
            <w:r>
              <w:rPr>
                <w:color w:val="auto"/>
                <w:spacing w:val="16"/>
              </w:rPr>
              <w:t xml:space="preserve">钙硬度(以 </w:t>
            </w:r>
            <w:r>
              <w:rPr>
                <w:color w:val="auto"/>
                <w:position w:val="-1"/>
              </w:rPr>
              <w:t>CaCO</w:t>
            </w:r>
            <w:r>
              <w:rPr>
                <w:color w:val="auto"/>
                <w:spacing w:val="16"/>
                <w:position w:val="-2"/>
                <w:sz w:val="9"/>
                <w:szCs w:val="9"/>
              </w:rPr>
              <w:t xml:space="preserve">3  </w:t>
            </w:r>
            <w:r>
              <w:rPr>
                <w:color w:val="auto"/>
                <w:spacing w:val="16"/>
              </w:rPr>
              <w:t>计)</w:t>
            </w:r>
          </w:p>
        </w:tc>
        <w:tc>
          <w:tcPr>
            <w:tcW w:w="1081" w:type="dxa"/>
          </w:tcPr>
          <w:p w14:paraId="44C9C792">
            <w:pPr>
              <w:pStyle w:val="13"/>
              <w:spacing w:before="85" w:line="169" w:lineRule="auto"/>
              <w:ind w:left="330"/>
              <w:rPr>
                <w:color w:val="auto"/>
              </w:rPr>
            </w:pPr>
            <w:r>
              <w:rPr>
                <w:color w:val="auto"/>
                <w:spacing w:val="14"/>
              </w:rPr>
              <w:t>mg/L</w:t>
            </w:r>
          </w:p>
        </w:tc>
        <w:tc>
          <w:tcPr>
            <w:tcW w:w="1802" w:type="dxa"/>
          </w:tcPr>
          <w:p w14:paraId="392A1E64">
            <w:pPr>
              <w:pStyle w:val="13"/>
              <w:spacing w:before="81" w:line="192" w:lineRule="auto"/>
              <w:ind w:left="683"/>
              <w:rPr>
                <w:color w:val="auto"/>
              </w:rPr>
            </w:pPr>
            <w:r>
              <w:rPr>
                <w:color w:val="auto"/>
                <w:spacing w:val="20"/>
              </w:rPr>
              <w:t>≤120</w:t>
            </w:r>
          </w:p>
        </w:tc>
        <w:tc>
          <w:tcPr>
            <w:tcW w:w="3629" w:type="dxa"/>
            <w:tcBorders>
              <w:right w:val="single" w:color="231F20" w:sz="6" w:space="0"/>
            </w:tcBorders>
          </w:tcPr>
          <w:p w14:paraId="5706D148">
            <w:pPr>
              <w:pStyle w:val="13"/>
              <w:spacing w:before="157" w:line="120" w:lineRule="exact"/>
              <w:ind w:left="1730"/>
              <w:rPr>
                <w:color w:val="auto"/>
              </w:rPr>
            </w:pPr>
            <w:r>
              <w:rPr>
                <w:color w:val="auto"/>
                <w:position w:val="-7"/>
              </w:rPr>
              <w:t>—</w:t>
            </w:r>
          </w:p>
        </w:tc>
      </w:tr>
      <w:tr w14:paraId="6933E33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0" w:hRule="atLeast"/>
        </w:trPr>
        <w:tc>
          <w:tcPr>
            <w:tcW w:w="2735" w:type="dxa"/>
            <w:gridSpan w:val="2"/>
            <w:tcBorders>
              <w:left w:val="single" w:color="231F20" w:sz="6" w:space="0"/>
            </w:tcBorders>
          </w:tcPr>
          <w:p w14:paraId="49B998C3">
            <w:pPr>
              <w:pStyle w:val="13"/>
              <w:spacing w:before="77" w:line="179" w:lineRule="auto"/>
              <w:ind w:left="539"/>
              <w:rPr>
                <w:color w:val="auto"/>
              </w:rPr>
            </w:pPr>
            <w:r>
              <w:rPr>
                <w:color w:val="auto"/>
                <w:spacing w:val="15"/>
              </w:rPr>
              <w:t xml:space="preserve">总碱度(以 </w:t>
            </w:r>
            <w:r>
              <w:rPr>
                <w:color w:val="auto"/>
                <w:position w:val="-1"/>
              </w:rPr>
              <w:t>CaCO</w:t>
            </w:r>
            <w:r>
              <w:rPr>
                <w:color w:val="auto"/>
                <w:spacing w:val="15"/>
                <w:position w:val="-2"/>
                <w:sz w:val="9"/>
                <w:szCs w:val="9"/>
              </w:rPr>
              <w:t xml:space="preserve">3  </w:t>
            </w:r>
            <w:r>
              <w:rPr>
                <w:color w:val="auto"/>
                <w:spacing w:val="15"/>
              </w:rPr>
              <w:t>计)</w:t>
            </w:r>
          </w:p>
        </w:tc>
        <w:tc>
          <w:tcPr>
            <w:tcW w:w="1081" w:type="dxa"/>
          </w:tcPr>
          <w:p w14:paraId="6D29B389">
            <w:pPr>
              <w:pStyle w:val="13"/>
              <w:spacing w:before="86" w:line="169" w:lineRule="auto"/>
              <w:ind w:left="330"/>
              <w:rPr>
                <w:color w:val="auto"/>
              </w:rPr>
            </w:pPr>
            <w:r>
              <w:rPr>
                <w:color w:val="auto"/>
                <w:spacing w:val="14"/>
              </w:rPr>
              <w:t>mg/L</w:t>
            </w:r>
          </w:p>
        </w:tc>
        <w:tc>
          <w:tcPr>
            <w:tcW w:w="1802" w:type="dxa"/>
          </w:tcPr>
          <w:p w14:paraId="72A0FD5D">
            <w:pPr>
              <w:pStyle w:val="13"/>
              <w:spacing w:before="82" w:line="192" w:lineRule="auto"/>
              <w:ind w:left="683"/>
              <w:rPr>
                <w:color w:val="auto"/>
              </w:rPr>
            </w:pPr>
            <w:r>
              <w:rPr>
                <w:color w:val="auto"/>
                <w:spacing w:val="20"/>
              </w:rPr>
              <w:t>≤200</w:t>
            </w:r>
          </w:p>
        </w:tc>
        <w:tc>
          <w:tcPr>
            <w:tcW w:w="3629" w:type="dxa"/>
            <w:tcBorders>
              <w:right w:val="single" w:color="231F20" w:sz="6" w:space="0"/>
            </w:tcBorders>
          </w:tcPr>
          <w:p w14:paraId="674D4D8F">
            <w:pPr>
              <w:pStyle w:val="13"/>
              <w:spacing w:before="82" w:line="192" w:lineRule="auto"/>
              <w:ind w:left="1598"/>
              <w:rPr>
                <w:color w:val="auto"/>
              </w:rPr>
            </w:pPr>
            <w:r>
              <w:rPr>
                <w:color w:val="auto"/>
                <w:spacing w:val="20"/>
              </w:rPr>
              <w:t>≤600</w:t>
            </w:r>
          </w:p>
        </w:tc>
      </w:tr>
      <w:tr w14:paraId="01982F1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9" w:hRule="atLeast"/>
        </w:trPr>
        <w:tc>
          <w:tcPr>
            <w:tcW w:w="2735" w:type="dxa"/>
            <w:gridSpan w:val="2"/>
            <w:tcBorders>
              <w:left w:val="single" w:color="231F20" w:sz="6" w:space="0"/>
            </w:tcBorders>
          </w:tcPr>
          <w:p w14:paraId="36B4642D">
            <w:pPr>
              <w:pStyle w:val="13"/>
              <w:spacing w:before="76" w:line="179" w:lineRule="auto"/>
              <w:ind w:left="173"/>
              <w:rPr>
                <w:color w:val="auto"/>
              </w:rPr>
            </w:pPr>
            <w:r>
              <w:rPr>
                <w:color w:val="auto"/>
                <w:spacing w:val="18"/>
              </w:rPr>
              <w:t>钙硬度</w:t>
            </w:r>
            <w:r>
              <w:rPr>
                <w:color w:val="auto"/>
                <w:spacing w:val="-16"/>
              </w:rPr>
              <w:t xml:space="preserve"> </w:t>
            </w:r>
            <w:r>
              <w:rPr>
                <w:color w:val="auto"/>
                <w:spacing w:val="18"/>
              </w:rPr>
              <w:t xml:space="preserve">+总碱度(以 </w:t>
            </w:r>
            <w:r>
              <w:rPr>
                <w:color w:val="auto"/>
                <w:position w:val="-1"/>
              </w:rPr>
              <w:t>CaCO</w:t>
            </w:r>
            <w:r>
              <w:rPr>
                <w:color w:val="auto"/>
                <w:spacing w:val="18"/>
                <w:position w:val="-2"/>
                <w:sz w:val="9"/>
                <w:szCs w:val="9"/>
              </w:rPr>
              <w:t xml:space="preserve">3  </w:t>
            </w:r>
            <w:r>
              <w:rPr>
                <w:color w:val="auto"/>
                <w:spacing w:val="18"/>
              </w:rPr>
              <w:t>计)</w:t>
            </w:r>
          </w:p>
        </w:tc>
        <w:tc>
          <w:tcPr>
            <w:tcW w:w="1081" w:type="dxa"/>
          </w:tcPr>
          <w:p w14:paraId="783F9632">
            <w:pPr>
              <w:pStyle w:val="13"/>
              <w:spacing w:before="87" w:line="169" w:lineRule="auto"/>
              <w:ind w:left="330"/>
              <w:rPr>
                <w:color w:val="auto"/>
              </w:rPr>
            </w:pPr>
            <w:r>
              <w:rPr>
                <w:color w:val="auto"/>
                <w:spacing w:val="14"/>
              </w:rPr>
              <w:t>mg/L</w:t>
            </w:r>
          </w:p>
        </w:tc>
        <w:tc>
          <w:tcPr>
            <w:tcW w:w="1802" w:type="dxa"/>
          </w:tcPr>
          <w:p w14:paraId="4376AF24">
            <w:pPr>
              <w:pStyle w:val="13"/>
              <w:spacing w:before="159" w:line="120" w:lineRule="exact"/>
              <w:ind w:left="815"/>
              <w:rPr>
                <w:color w:val="auto"/>
              </w:rPr>
            </w:pPr>
            <w:r>
              <w:rPr>
                <w:color w:val="auto"/>
                <w:position w:val="-7"/>
              </w:rPr>
              <w:t>—</w:t>
            </w:r>
          </w:p>
        </w:tc>
        <w:tc>
          <w:tcPr>
            <w:tcW w:w="3629" w:type="dxa"/>
            <w:tcBorders>
              <w:right w:val="single" w:color="231F20" w:sz="6" w:space="0"/>
            </w:tcBorders>
          </w:tcPr>
          <w:p w14:paraId="507E3157">
            <w:pPr>
              <w:pStyle w:val="13"/>
              <w:spacing w:before="83" w:line="192" w:lineRule="auto"/>
              <w:ind w:left="1522"/>
              <w:rPr>
                <w:color w:val="auto"/>
              </w:rPr>
            </w:pPr>
            <w:r>
              <w:rPr>
                <w:color w:val="auto"/>
                <w:spacing w:val="19"/>
              </w:rPr>
              <w:t>≤1</w:t>
            </w:r>
            <w:r>
              <w:rPr>
                <w:color w:val="auto"/>
                <w:spacing w:val="-8"/>
              </w:rPr>
              <w:t xml:space="preserve"> </w:t>
            </w:r>
            <w:r>
              <w:rPr>
                <w:color w:val="auto"/>
                <w:spacing w:val="19"/>
              </w:rPr>
              <w:t>100</w:t>
            </w:r>
          </w:p>
        </w:tc>
      </w:tr>
      <w:tr w14:paraId="5642C6A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8" w:hRule="atLeast"/>
        </w:trPr>
        <w:tc>
          <w:tcPr>
            <w:tcW w:w="2735" w:type="dxa"/>
            <w:gridSpan w:val="2"/>
            <w:tcBorders>
              <w:left w:val="single" w:color="231F20" w:sz="6" w:space="0"/>
            </w:tcBorders>
          </w:tcPr>
          <w:p w14:paraId="5E60E4BE">
            <w:pPr>
              <w:pStyle w:val="13"/>
              <w:spacing w:before="94" w:line="174" w:lineRule="auto"/>
              <w:ind w:left="1234"/>
              <w:rPr>
                <w:color w:val="auto"/>
                <w:sz w:val="9"/>
                <w:szCs w:val="9"/>
              </w:rPr>
            </w:pPr>
            <w:r>
              <w:rPr>
                <w:color w:val="auto"/>
                <w:spacing w:val="19"/>
                <w:w w:val="104"/>
              </w:rPr>
              <w:t>Cl</w:t>
            </w:r>
            <w:r>
              <w:rPr>
                <w:color w:val="auto"/>
                <w:spacing w:val="19"/>
                <w:w w:val="104"/>
                <w:position w:val="7"/>
                <w:sz w:val="9"/>
                <w:szCs w:val="9"/>
              </w:rPr>
              <w:t>-</w:t>
            </w:r>
          </w:p>
        </w:tc>
        <w:tc>
          <w:tcPr>
            <w:tcW w:w="1081" w:type="dxa"/>
          </w:tcPr>
          <w:p w14:paraId="00471E2A">
            <w:pPr>
              <w:pStyle w:val="13"/>
              <w:spacing w:before="88" w:line="169" w:lineRule="auto"/>
              <w:ind w:left="330"/>
              <w:rPr>
                <w:color w:val="auto"/>
              </w:rPr>
            </w:pPr>
            <w:r>
              <w:rPr>
                <w:color w:val="auto"/>
                <w:spacing w:val="14"/>
              </w:rPr>
              <w:t>mg/L</w:t>
            </w:r>
          </w:p>
        </w:tc>
        <w:tc>
          <w:tcPr>
            <w:tcW w:w="1802" w:type="dxa"/>
          </w:tcPr>
          <w:p w14:paraId="7D08F4B4">
            <w:pPr>
              <w:pStyle w:val="13"/>
              <w:spacing w:before="83" w:line="192" w:lineRule="auto"/>
              <w:ind w:left="683"/>
              <w:rPr>
                <w:color w:val="auto"/>
              </w:rPr>
            </w:pPr>
            <w:r>
              <w:rPr>
                <w:color w:val="auto"/>
                <w:spacing w:val="20"/>
              </w:rPr>
              <w:t>≤100</w:t>
            </w:r>
          </w:p>
        </w:tc>
        <w:tc>
          <w:tcPr>
            <w:tcW w:w="3629" w:type="dxa"/>
            <w:tcBorders>
              <w:right w:val="single" w:color="231F20" w:sz="6" w:space="0"/>
            </w:tcBorders>
          </w:tcPr>
          <w:p w14:paraId="3E950153">
            <w:pPr>
              <w:pStyle w:val="13"/>
              <w:spacing w:before="83" w:line="192" w:lineRule="auto"/>
              <w:ind w:left="1598"/>
              <w:rPr>
                <w:color w:val="auto"/>
              </w:rPr>
            </w:pPr>
            <w:r>
              <w:rPr>
                <w:color w:val="auto"/>
                <w:spacing w:val="20"/>
              </w:rPr>
              <w:t>≤500</w:t>
            </w:r>
          </w:p>
        </w:tc>
      </w:tr>
      <w:tr w14:paraId="3A4EF82A">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0" w:hRule="atLeast"/>
        </w:trPr>
        <w:tc>
          <w:tcPr>
            <w:tcW w:w="2735" w:type="dxa"/>
            <w:gridSpan w:val="2"/>
            <w:tcBorders>
              <w:left w:val="single" w:color="231F20" w:sz="6" w:space="0"/>
            </w:tcBorders>
          </w:tcPr>
          <w:p w14:paraId="62134A1C">
            <w:pPr>
              <w:pStyle w:val="13"/>
              <w:spacing w:before="82" w:line="182" w:lineRule="auto"/>
              <w:ind w:left="1207"/>
              <w:rPr>
                <w:color w:val="auto"/>
              </w:rPr>
            </w:pPr>
            <w:r>
              <w:rPr>
                <w:color w:val="auto"/>
                <w:spacing w:val="7"/>
              </w:rPr>
              <w:t>总铁</w:t>
            </w:r>
          </w:p>
        </w:tc>
        <w:tc>
          <w:tcPr>
            <w:tcW w:w="1081" w:type="dxa"/>
          </w:tcPr>
          <w:p w14:paraId="2815AD6A">
            <w:pPr>
              <w:pStyle w:val="13"/>
              <w:spacing w:before="89" w:line="169" w:lineRule="auto"/>
              <w:ind w:left="330"/>
              <w:rPr>
                <w:color w:val="auto"/>
              </w:rPr>
            </w:pPr>
            <w:r>
              <w:rPr>
                <w:color w:val="auto"/>
                <w:spacing w:val="14"/>
              </w:rPr>
              <w:t>mg/L</w:t>
            </w:r>
          </w:p>
        </w:tc>
        <w:tc>
          <w:tcPr>
            <w:tcW w:w="1802" w:type="dxa"/>
          </w:tcPr>
          <w:p w14:paraId="53E8F553">
            <w:pPr>
              <w:pStyle w:val="13"/>
              <w:spacing w:before="84" w:line="192" w:lineRule="auto"/>
              <w:ind w:left="683"/>
              <w:rPr>
                <w:color w:val="auto"/>
              </w:rPr>
            </w:pPr>
            <w:r>
              <w:rPr>
                <w:color w:val="auto"/>
                <w:spacing w:val="16"/>
              </w:rPr>
              <w:t>≤0. 3</w:t>
            </w:r>
          </w:p>
        </w:tc>
        <w:tc>
          <w:tcPr>
            <w:tcW w:w="3629" w:type="dxa"/>
            <w:tcBorders>
              <w:right w:val="single" w:color="231F20" w:sz="6" w:space="0"/>
            </w:tcBorders>
          </w:tcPr>
          <w:p w14:paraId="2F98F49C">
            <w:pPr>
              <w:pStyle w:val="13"/>
              <w:spacing w:before="84" w:line="192" w:lineRule="auto"/>
              <w:ind w:left="1598"/>
              <w:rPr>
                <w:color w:val="auto"/>
              </w:rPr>
            </w:pPr>
            <w:r>
              <w:rPr>
                <w:color w:val="auto"/>
                <w:spacing w:val="16"/>
              </w:rPr>
              <w:t>≤1. 0</w:t>
            </w:r>
          </w:p>
        </w:tc>
      </w:tr>
      <w:tr w14:paraId="70A01F4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8" w:hRule="atLeast"/>
        </w:trPr>
        <w:tc>
          <w:tcPr>
            <w:tcW w:w="2735" w:type="dxa"/>
            <w:gridSpan w:val="2"/>
            <w:tcBorders>
              <w:left w:val="single" w:color="231F20" w:sz="6" w:space="0"/>
            </w:tcBorders>
          </w:tcPr>
          <w:p w14:paraId="785154EC">
            <w:pPr>
              <w:pStyle w:val="13"/>
              <w:spacing w:before="103" w:line="175" w:lineRule="auto"/>
              <w:ind w:left="1067"/>
              <w:rPr>
                <w:color w:val="auto"/>
                <w:sz w:val="9"/>
                <w:szCs w:val="9"/>
              </w:rPr>
            </w:pPr>
            <w:r>
              <w:rPr>
                <w:color w:val="auto"/>
                <w:spacing w:val="11"/>
              </w:rPr>
              <w:t>NH</w:t>
            </w:r>
            <w:r>
              <w:rPr>
                <w:color w:val="auto"/>
                <w:spacing w:val="11"/>
                <w:position w:val="-1"/>
                <w:sz w:val="9"/>
                <w:szCs w:val="9"/>
              </w:rPr>
              <w:t>3</w:t>
            </w:r>
            <w:r>
              <w:rPr>
                <w:color w:val="auto"/>
                <w:spacing w:val="11"/>
              </w:rPr>
              <w:t>-N</w:t>
            </w:r>
            <w:r>
              <w:rPr>
                <w:color w:val="auto"/>
                <w:spacing w:val="11"/>
                <w:position w:val="7"/>
                <w:sz w:val="9"/>
                <w:szCs w:val="9"/>
              </w:rPr>
              <w:t>a</w:t>
            </w:r>
          </w:p>
        </w:tc>
        <w:tc>
          <w:tcPr>
            <w:tcW w:w="1081" w:type="dxa"/>
          </w:tcPr>
          <w:p w14:paraId="312B7991">
            <w:pPr>
              <w:pStyle w:val="13"/>
              <w:spacing w:before="90" w:line="169" w:lineRule="auto"/>
              <w:ind w:left="330"/>
              <w:rPr>
                <w:color w:val="auto"/>
              </w:rPr>
            </w:pPr>
            <w:r>
              <w:rPr>
                <w:color w:val="auto"/>
                <w:spacing w:val="14"/>
              </w:rPr>
              <w:t>mg/L</w:t>
            </w:r>
          </w:p>
        </w:tc>
        <w:tc>
          <w:tcPr>
            <w:tcW w:w="1802" w:type="dxa"/>
          </w:tcPr>
          <w:p w14:paraId="09491CD8">
            <w:pPr>
              <w:pStyle w:val="13"/>
              <w:spacing w:before="85" w:line="192" w:lineRule="auto"/>
              <w:ind w:left="772"/>
              <w:rPr>
                <w:color w:val="auto"/>
              </w:rPr>
            </w:pPr>
            <w:r>
              <w:rPr>
                <w:color w:val="auto"/>
                <w:spacing w:val="31"/>
                <w:w w:val="110"/>
              </w:rPr>
              <w:t>≤5</w:t>
            </w:r>
          </w:p>
        </w:tc>
        <w:tc>
          <w:tcPr>
            <w:tcW w:w="3629" w:type="dxa"/>
            <w:tcBorders>
              <w:right w:val="single" w:color="231F20" w:sz="6" w:space="0"/>
            </w:tcBorders>
          </w:tcPr>
          <w:p w14:paraId="207FA374">
            <w:pPr>
              <w:pStyle w:val="13"/>
              <w:spacing w:before="85" w:line="192" w:lineRule="auto"/>
              <w:ind w:left="1643"/>
              <w:rPr>
                <w:color w:val="auto"/>
              </w:rPr>
            </w:pPr>
            <w:r>
              <w:rPr>
                <w:color w:val="auto"/>
                <w:spacing w:val="28"/>
              </w:rPr>
              <w:t>≤10</w:t>
            </w:r>
          </w:p>
        </w:tc>
      </w:tr>
      <w:tr w14:paraId="5999E08A">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0" w:hRule="atLeast"/>
        </w:trPr>
        <w:tc>
          <w:tcPr>
            <w:tcW w:w="2735" w:type="dxa"/>
            <w:gridSpan w:val="2"/>
            <w:tcBorders>
              <w:left w:val="single" w:color="231F20" w:sz="6" w:space="0"/>
            </w:tcBorders>
          </w:tcPr>
          <w:p w14:paraId="33D2830C">
            <w:pPr>
              <w:pStyle w:val="13"/>
              <w:spacing w:before="84" w:line="183" w:lineRule="auto"/>
              <w:ind w:left="1112"/>
              <w:rPr>
                <w:color w:val="auto"/>
              </w:rPr>
            </w:pPr>
            <w:r>
              <w:rPr>
                <w:color w:val="auto"/>
                <w:spacing w:val="14"/>
              </w:rPr>
              <w:t>游离氯</w:t>
            </w:r>
          </w:p>
        </w:tc>
        <w:tc>
          <w:tcPr>
            <w:tcW w:w="1081" w:type="dxa"/>
          </w:tcPr>
          <w:p w14:paraId="068F634D">
            <w:pPr>
              <w:pStyle w:val="13"/>
              <w:spacing w:before="91" w:line="169" w:lineRule="auto"/>
              <w:ind w:left="330"/>
              <w:rPr>
                <w:color w:val="auto"/>
              </w:rPr>
            </w:pPr>
            <w:r>
              <w:rPr>
                <w:color w:val="auto"/>
                <w:spacing w:val="14"/>
              </w:rPr>
              <w:t>mg/L</w:t>
            </w:r>
          </w:p>
        </w:tc>
        <w:tc>
          <w:tcPr>
            <w:tcW w:w="1802" w:type="dxa"/>
          </w:tcPr>
          <w:p w14:paraId="7D0B1EDA">
            <w:pPr>
              <w:pStyle w:val="13"/>
              <w:spacing w:before="84" w:line="177" w:lineRule="auto"/>
              <w:ind w:left="56"/>
              <w:rPr>
                <w:color w:val="auto"/>
              </w:rPr>
            </w:pPr>
            <w:r>
              <w:rPr>
                <w:color w:val="auto"/>
                <w:spacing w:val="9"/>
                <w:position w:val="-1"/>
              </w:rPr>
              <w:t>0. 05~</w:t>
            </w:r>
            <w:r>
              <w:rPr>
                <w:color w:val="auto"/>
                <w:spacing w:val="-18"/>
                <w:position w:val="-1"/>
              </w:rPr>
              <w:t xml:space="preserve"> </w:t>
            </w:r>
            <w:r>
              <w:rPr>
                <w:color w:val="auto"/>
                <w:spacing w:val="9"/>
                <w:position w:val="-1"/>
              </w:rPr>
              <w:t xml:space="preserve">0. </w:t>
            </w:r>
            <w:r>
              <w:rPr>
                <w:color w:val="auto"/>
                <w:spacing w:val="9"/>
              </w:rPr>
              <w:t>2(管网末梢)</w:t>
            </w:r>
          </w:p>
        </w:tc>
        <w:tc>
          <w:tcPr>
            <w:tcW w:w="3629" w:type="dxa"/>
            <w:tcBorders>
              <w:right w:val="single" w:color="231F20" w:sz="6" w:space="0"/>
            </w:tcBorders>
          </w:tcPr>
          <w:p w14:paraId="6A5DE30D">
            <w:pPr>
              <w:pStyle w:val="13"/>
              <w:spacing w:before="84" w:line="177" w:lineRule="auto"/>
              <w:ind w:left="699"/>
              <w:rPr>
                <w:color w:val="auto"/>
              </w:rPr>
            </w:pPr>
            <w:r>
              <w:rPr>
                <w:color w:val="auto"/>
                <w:spacing w:val="11"/>
                <w:position w:val="-1"/>
              </w:rPr>
              <w:t>0. 05~</w:t>
            </w:r>
            <w:r>
              <w:rPr>
                <w:color w:val="auto"/>
                <w:spacing w:val="-21"/>
                <w:position w:val="-1"/>
              </w:rPr>
              <w:t xml:space="preserve"> </w:t>
            </w:r>
            <w:r>
              <w:rPr>
                <w:color w:val="auto"/>
                <w:spacing w:val="11"/>
                <w:position w:val="-1"/>
              </w:rPr>
              <w:t xml:space="preserve">1. </w:t>
            </w:r>
            <w:r>
              <w:rPr>
                <w:color w:val="auto"/>
                <w:spacing w:val="11"/>
              </w:rPr>
              <w:t>0(循环回水总管处)</w:t>
            </w:r>
          </w:p>
        </w:tc>
      </w:tr>
      <w:tr w14:paraId="47B09A3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8" w:hRule="atLeast"/>
        </w:trPr>
        <w:tc>
          <w:tcPr>
            <w:tcW w:w="2735" w:type="dxa"/>
            <w:gridSpan w:val="2"/>
            <w:tcBorders>
              <w:left w:val="single" w:color="231F20" w:sz="6" w:space="0"/>
            </w:tcBorders>
          </w:tcPr>
          <w:p w14:paraId="2D03CA50">
            <w:pPr>
              <w:pStyle w:val="13"/>
              <w:spacing w:before="98" w:line="183" w:lineRule="auto"/>
              <w:ind w:left="1141"/>
              <w:rPr>
                <w:color w:val="auto"/>
                <w:sz w:val="9"/>
                <w:szCs w:val="9"/>
              </w:rPr>
            </w:pPr>
            <w:r>
              <w:rPr>
                <w:color w:val="auto"/>
                <w:spacing w:val="8"/>
              </w:rPr>
              <w:t>COD</w:t>
            </w:r>
            <w:r>
              <w:rPr>
                <w:color w:val="auto"/>
                <w:spacing w:val="8"/>
                <w:sz w:val="9"/>
                <w:szCs w:val="9"/>
              </w:rPr>
              <w:t>cr</w:t>
            </w:r>
          </w:p>
        </w:tc>
        <w:tc>
          <w:tcPr>
            <w:tcW w:w="1081" w:type="dxa"/>
          </w:tcPr>
          <w:p w14:paraId="0F7D29C3">
            <w:pPr>
              <w:pStyle w:val="13"/>
              <w:spacing w:before="92" w:line="169" w:lineRule="auto"/>
              <w:ind w:left="330"/>
              <w:rPr>
                <w:color w:val="auto"/>
              </w:rPr>
            </w:pPr>
            <w:r>
              <w:rPr>
                <w:color w:val="auto"/>
                <w:spacing w:val="14"/>
              </w:rPr>
              <w:t>mg/L</w:t>
            </w:r>
          </w:p>
        </w:tc>
        <w:tc>
          <w:tcPr>
            <w:tcW w:w="1802" w:type="dxa"/>
          </w:tcPr>
          <w:p w14:paraId="0F7C312C">
            <w:pPr>
              <w:pStyle w:val="13"/>
              <w:spacing w:before="88" w:line="192" w:lineRule="auto"/>
              <w:ind w:left="728"/>
              <w:rPr>
                <w:color w:val="auto"/>
              </w:rPr>
            </w:pPr>
            <w:r>
              <w:rPr>
                <w:color w:val="auto"/>
                <w:spacing w:val="25"/>
                <w:w w:val="103"/>
              </w:rPr>
              <w:t>≤30</w:t>
            </w:r>
          </w:p>
        </w:tc>
        <w:tc>
          <w:tcPr>
            <w:tcW w:w="3629" w:type="dxa"/>
            <w:tcBorders>
              <w:right w:val="single" w:color="231F20" w:sz="6" w:space="0"/>
            </w:tcBorders>
          </w:tcPr>
          <w:p w14:paraId="05EA3011">
            <w:pPr>
              <w:pStyle w:val="13"/>
              <w:spacing w:before="88" w:line="192" w:lineRule="auto"/>
              <w:ind w:left="1598"/>
              <w:rPr>
                <w:color w:val="auto"/>
              </w:rPr>
            </w:pPr>
            <w:r>
              <w:rPr>
                <w:color w:val="auto"/>
                <w:spacing w:val="20"/>
              </w:rPr>
              <w:t>≤100</w:t>
            </w:r>
          </w:p>
        </w:tc>
      </w:tr>
      <w:tr w14:paraId="75B7E42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18" w:hRule="atLeast"/>
        </w:trPr>
        <w:tc>
          <w:tcPr>
            <w:tcW w:w="2735" w:type="dxa"/>
            <w:gridSpan w:val="2"/>
            <w:tcBorders>
              <w:left w:val="single" w:color="231F20" w:sz="6" w:space="0"/>
            </w:tcBorders>
          </w:tcPr>
          <w:p w14:paraId="28E9B5F8">
            <w:pPr>
              <w:pStyle w:val="13"/>
              <w:spacing w:before="85" w:line="182" w:lineRule="auto"/>
              <w:ind w:left="932"/>
              <w:rPr>
                <w:color w:val="auto"/>
              </w:rPr>
            </w:pPr>
            <w:r>
              <w:rPr>
                <w:color w:val="auto"/>
                <w:spacing w:val="16"/>
              </w:rPr>
              <w:t>异养菌总数</w:t>
            </w:r>
          </w:p>
        </w:tc>
        <w:tc>
          <w:tcPr>
            <w:tcW w:w="1081" w:type="dxa"/>
          </w:tcPr>
          <w:p w14:paraId="21EA78AE">
            <w:pPr>
              <w:pStyle w:val="13"/>
              <w:spacing w:before="88" w:line="181" w:lineRule="auto"/>
              <w:ind w:left="280"/>
              <w:rPr>
                <w:color w:val="auto"/>
              </w:rPr>
            </w:pPr>
            <w:r>
              <w:rPr>
                <w:color w:val="auto"/>
                <w:spacing w:val="23"/>
              </w:rPr>
              <w:t>个/</w:t>
            </w:r>
            <w:r>
              <w:rPr>
                <w:color w:val="auto"/>
                <w:spacing w:val="23"/>
                <w:position w:val="-1"/>
              </w:rPr>
              <w:t>mL</w:t>
            </w:r>
          </w:p>
        </w:tc>
        <w:tc>
          <w:tcPr>
            <w:tcW w:w="1802" w:type="dxa"/>
          </w:tcPr>
          <w:p w14:paraId="0AB64968">
            <w:pPr>
              <w:pStyle w:val="13"/>
              <w:spacing w:before="164" w:line="120" w:lineRule="exact"/>
              <w:ind w:left="815"/>
              <w:rPr>
                <w:color w:val="auto"/>
              </w:rPr>
            </w:pPr>
            <w:r>
              <w:rPr>
                <w:color w:val="auto"/>
                <w:position w:val="-7"/>
              </w:rPr>
              <w:t>—</w:t>
            </w:r>
          </w:p>
        </w:tc>
        <w:tc>
          <w:tcPr>
            <w:tcW w:w="3629" w:type="dxa"/>
            <w:tcBorders>
              <w:right w:val="single" w:color="231F20" w:sz="6" w:space="0"/>
            </w:tcBorders>
          </w:tcPr>
          <w:p w14:paraId="19E5E207">
            <w:pPr>
              <w:pStyle w:val="13"/>
              <w:spacing w:before="90" w:line="190" w:lineRule="auto"/>
              <w:ind w:left="1468"/>
              <w:rPr>
                <w:color w:val="auto"/>
                <w:sz w:val="9"/>
                <w:szCs w:val="9"/>
              </w:rPr>
            </w:pPr>
            <w:r>
              <w:rPr>
                <w:color w:val="auto"/>
                <w:spacing w:val="18"/>
              </w:rPr>
              <w:t>≤1×</w:t>
            </w:r>
            <w:r>
              <w:rPr>
                <w:color w:val="auto"/>
                <w:spacing w:val="-19"/>
              </w:rPr>
              <w:t xml:space="preserve"> </w:t>
            </w:r>
            <w:r>
              <w:rPr>
                <w:color w:val="auto"/>
                <w:spacing w:val="18"/>
              </w:rPr>
              <w:t>10</w:t>
            </w:r>
            <w:r>
              <w:rPr>
                <w:color w:val="auto"/>
                <w:spacing w:val="18"/>
                <w:position w:val="7"/>
                <w:sz w:val="9"/>
                <w:szCs w:val="9"/>
              </w:rPr>
              <w:t>5</w:t>
            </w:r>
          </w:p>
        </w:tc>
      </w:tr>
      <w:tr w14:paraId="09555D8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20" w:hRule="atLeast"/>
        </w:trPr>
        <w:tc>
          <w:tcPr>
            <w:tcW w:w="2735" w:type="dxa"/>
            <w:gridSpan w:val="2"/>
            <w:tcBorders>
              <w:left w:val="single" w:color="231F20" w:sz="6" w:space="0"/>
              <w:bottom w:val="single" w:color="231F20" w:sz="6" w:space="0"/>
            </w:tcBorders>
          </w:tcPr>
          <w:p w14:paraId="1BA24FDB">
            <w:pPr>
              <w:pStyle w:val="13"/>
              <w:spacing w:before="86" w:line="178" w:lineRule="auto"/>
              <w:ind w:left="742"/>
              <w:rPr>
                <w:color w:val="auto"/>
              </w:rPr>
            </w:pPr>
            <w:r>
              <w:rPr>
                <w:color w:val="auto"/>
                <w:spacing w:val="22"/>
              </w:rPr>
              <w:t>有机磷(以 P计)</w:t>
            </w:r>
          </w:p>
        </w:tc>
        <w:tc>
          <w:tcPr>
            <w:tcW w:w="1081" w:type="dxa"/>
            <w:tcBorders>
              <w:bottom w:val="single" w:color="231F20" w:sz="6" w:space="0"/>
            </w:tcBorders>
          </w:tcPr>
          <w:p w14:paraId="2F472D27">
            <w:pPr>
              <w:pStyle w:val="13"/>
              <w:spacing w:before="94" w:line="169" w:lineRule="auto"/>
              <w:ind w:left="330"/>
              <w:rPr>
                <w:color w:val="auto"/>
              </w:rPr>
            </w:pPr>
            <w:r>
              <w:rPr>
                <w:color w:val="auto"/>
                <w:spacing w:val="14"/>
              </w:rPr>
              <w:t>mg/L</w:t>
            </w:r>
          </w:p>
        </w:tc>
        <w:tc>
          <w:tcPr>
            <w:tcW w:w="1802" w:type="dxa"/>
            <w:tcBorders>
              <w:bottom w:val="single" w:color="231F20" w:sz="6" w:space="0"/>
            </w:tcBorders>
          </w:tcPr>
          <w:p w14:paraId="1D517070">
            <w:pPr>
              <w:pStyle w:val="13"/>
              <w:spacing w:before="165" w:line="120" w:lineRule="exact"/>
              <w:ind w:left="815"/>
              <w:rPr>
                <w:color w:val="auto"/>
              </w:rPr>
            </w:pPr>
            <w:r>
              <w:rPr>
                <w:color w:val="auto"/>
                <w:position w:val="-7"/>
              </w:rPr>
              <w:t>—</w:t>
            </w:r>
          </w:p>
        </w:tc>
        <w:tc>
          <w:tcPr>
            <w:tcW w:w="3629" w:type="dxa"/>
            <w:tcBorders>
              <w:bottom w:val="single" w:color="231F20" w:sz="6" w:space="0"/>
              <w:right w:val="single" w:color="231F20" w:sz="6" w:space="0"/>
            </w:tcBorders>
          </w:tcPr>
          <w:p w14:paraId="43424F43">
            <w:pPr>
              <w:pStyle w:val="13"/>
              <w:spacing w:before="90" w:line="192" w:lineRule="auto"/>
              <w:ind w:left="1598"/>
              <w:rPr>
                <w:color w:val="auto"/>
              </w:rPr>
            </w:pPr>
            <w:r>
              <w:rPr>
                <w:color w:val="auto"/>
                <w:spacing w:val="17"/>
              </w:rPr>
              <w:t>≤0.</w:t>
            </w:r>
            <w:r>
              <w:rPr>
                <w:color w:val="auto"/>
                <w:spacing w:val="14"/>
              </w:rPr>
              <w:t xml:space="preserve"> </w:t>
            </w:r>
            <w:r>
              <w:rPr>
                <w:color w:val="auto"/>
                <w:spacing w:val="17"/>
              </w:rPr>
              <w:t>5</w:t>
            </w:r>
          </w:p>
        </w:tc>
      </w:tr>
      <w:tr w14:paraId="605BA15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43" w:hRule="atLeast"/>
        </w:trPr>
        <w:tc>
          <w:tcPr>
            <w:tcW w:w="9247" w:type="dxa"/>
            <w:gridSpan w:val="5"/>
            <w:tcBorders>
              <w:top w:val="single" w:color="231F20" w:sz="6" w:space="0"/>
              <w:left w:val="single" w:color="231F20" w:sz="6" w:space="0"/>
              <w:bottom w:val="single" w:color="231F20" w:sz="6" w:space="0"/>
              <w:right w:val="single" w:color="231F20" w:sz="6" w:space="0"/>
            </w:tcBorders>
          </w:tcPr>
          <w:p w14:paraId="241D0C4A">
            <w:pPr>
              <w:pStyle w:val="13"/>
              <w:spacing w:before="93" w:line="182" w:lineRule="auto"/>
              <w:ind w:left="493"/>
              <w:rPr>
                <w:color w:val="auto"/>
              </w:rPr>
            </w:pPr>
            <w:r>
              <w:rPr>
                <w:color w:val="auto"/>
                <w:spacing w:val="14"/>
                <w:position w:val="5"/>
                <w:sz w:val="9"/>
                <w:szCs w:val="9"/>
              </w:rPr>
              <w:t xml:space="preserve">a      </w:t>
            </w:r>
            <w:r>
              <w:rPr>
                <w:color w:val="auto"/>
                <w:spacing w:val="14"/>
              </w:rPr>
              <w:t>当补充水水源为地表水</w:t>
            </w:r>
            <w:r>
              <w:rPr>
                <w:color w:val="auto"/>
                <w:spacing w:val="-15"/>
              </w:rPr>
              <w:t xml:space="preserve"> </w:t>
            </w:r>
            <w:r>
              <w:rPr>
                <w:color w:val="auto"/>
                <w:spacing w:val="14"/>
              </w:rPr>
              <w:t>、地下水或再生水回用时</w:t>
            </w:r>
            <w:r>
              <w:rPr>
                <w:color w:val="auto"/>
                <w:spacing w:val="-5"/>
              </w:rPr>
              <w:t xml:space="preserve"> </w:t>
            </w:r>
            <w:r>
              <w:rPr>
                <w:color w:val="auto"/>
                <w:spacing w:val="14"/>
              </w:rPr>
              <w:t>,应对本指标项进行检测与控制</w:t>
            </w:r>
            <w:r>
              <w:rPr>
                <w:color w:val="auto"/>
                <w:spacing w:val="-19"/>
              </w:rPr>
              <w:t xml:space="preserve"> </w:t>
            </w:r>
            <w:r>
              <w:rPr>
                <w:color w:val="auto"/>
                <w:spacing w:val="14"/>
              </w:rPr>
              <w:t>。</w:t>
            </w:r>
          </w:p>
        </w:tc>
      </w:tr>
    </w:tbl>
    <w:p w14:paraId="4D4EF33F">
      <w:pPr>
        <w:keepNext w:val="0"/>
        <w:keepLines w:val="0"/>
        <w:pageBreakBefore w:val="0"/>
        <w:widowControl w:val="0"/>
        <w:kinsoku/>
        <w:wordWrap/>
        <w:overflowPunct/>
        <w:topLinePunct w:val="0"/>
        <w:autoSpaceDE/>
        <w:autoSpaceDN w:val="0"/>
        <w:bidi w:val="0"/>
        <w:snapToGrid/>
        <w:spacing w:line="360" w:lineRule="auto"/>
        <w:textAlignment w:val="auto"/>
        <w:rPr>
          <w:rFonts w:hint="eastAsia" w:ascii="仿宋" w:hAnsi="仿宋" w:eastAsia="仿宋" w:cs="仿宋"/>
          <w:color w:val="auto"/>
          <w:kern w:val="0"/>
          <w:sz w:val="24"/>
          <w:szCs w:val="24"/>
          <w:highlight w:val="none"/>
        </w:rPr>
      </w:pPr>
    </w:p>
    <w:p w14:paraId="515CDE62">
      <w:pPr>
        <w:pStyle w:val="8"/>
        <w:keepNext w:val="0"/>
        <w:keepLines w:val="0"/>
        <w:pageBreakBefore w:val="0"/>
        <w:widowControl w:val="0"/>
        <w:kinsoku/>
        <w:wordWrap/>
        <w:overflowPunct/>
        <w:topLinePunct w:val="0"/>
        <w:autoSpaceDE/>
        <w:bidi w:val="0"/>
        <w:snapToGrid/>
        <w:spacing w:line="360" w:lineRule="auto"/>
        <w:ind w:left="0" w:leftChars="0" w:firstLine="0" w:firstLineChars="0"/>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1.2</w:t>
      </w:r>
      <w:r>
        <w:rPr>
          <w:rFonts w:hint="eastAsia" w:ascii="仿宋" w:hAnsi="仿宋" w:eastAsia="仿宋" w:cs="仿宋"/>
          <w:b/>
          <w:color w:val="auto"/>
          <w:kern w:val="0"/>
          <w:sz w:val="24"/>
          <w:szCs w:val="24"/>
          <w:highlight w:val="none"/>
        </w:rPr>
        <w:t>生活水箱</w:t>
      </w:r>
      <w:r>
        <w:rPr>
          <w:rFonts w:hint="eastAsia" w:ascii="仿宋" w:hAnsi="仿宋" w:eastAsia="仿宋" w:cs="仿宋"/>
          <w:color w:val="auto"/>
          <w:sz w:val="24"/>
          <w:szCs w:val="24"/>
          <w:lang w:eastAsia="zh-CN"/>
        </w:rPr>
        <w:t>、</w:t>
      </w:r>
      <w:r>
        <w:rPr>
          <w:rFonts w:hint="eastAsia" w:ascii="仿宋" w:hAnsi="仿宋" w:eastAsia="仿宋" w:cs="仿宋"/>
          <w:b/>
          <w:bCs/>
          <w:color w:val="auto"/>
          <w:sz w:val="24"/>
          <w:szCs w:val="24"/>
          <w:lang w:val="en-US" w:eastAsia="zh-CN"/>
        </w:rPr>
        <w:t>热水水箱</w:t>
      </w:r>
    </w:p>
    <w:p w14:paraId="3D62C9FE">
      <w:pPr>
        <w:keepNext w:val="0"/>
        <w:keepLines w:val="0"/>
        <w:pageBreakBefore w:val="0"/>
        <w:widowControl w:val="0"/>
        <w:kinsoku/>
        <w:wordWrap/>
        <w:overflowPunct/>
        <w:topLinePunct w:val="0"/>
        <w:autoSpaceDE/>
        <w:autoSpaceDN w:val="0"/>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清洗要求：</w:t>
      </w:r>
      <w:r>
        <w:rPr>
          <w:rFonts w:hint="eastAsia" w:ascii="仿宋" w:hAnsi="仿宋" w:eastAsia="仿宋" w:cs="仿宋"/>
          <w:color w:val="auto"/>
          <w:kern w:val="0"/>
          <w:sz w:val="24"/>
          <w:szCs w:val="24"/>
          <w:highlight w:val="none"/>
          <w:lang w:val="en-US" w:eastAsia="zh-CN"/>
        </w:rPr>
        <w:t>冷水水箱一年清洗两次（每半年清洗一次</w:t>
      </w:r>
      <w:r>
        <w:rPr>
          <w:rFonts w:hint="eastAsia" w:ascii="仿宋" w:hAnsi="仿宋" w:eastAsia="仿宋" w:cs="仿宋"/>
          <w:color w:val="auto"/>
          <w:kern w:val="0"/>
          <w:sz w:val="24"/>
          <w:szCs w:val="24"/>
          <w:highlight w:val="none"/>
        </w:rPr>
        <w:t>清洗后</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符合绍兴市二次供水卫生要求，</w:t>
      </w:r>
      <w:r>
        <w:rPr>
          <w:rFonts w:hint="eastAsia" w:ascii="仿宋" w:hAnsi="仿宋" w:eastAsia="仿宋" w:cs="仿宋"/>
          <w:i w:val="0"/>
          <w:iCs w:val="0"/>
          <w:color w:val="auto"/>
          <w:kern w:val="0"/>
          <w:sz w:val="24"/>
          <w:szCs w:val="24"/>
          <w:u w:val="none"/>
          <w:lang w:val="en-US" w:eastAsia="zh-CN"/>
        </w:rPr>
        <w:t>完成清洗后提供</w:t>
      </w:r>
      <w:r>
        <w:rPr>
          <w:rFonts w:hint="eastAsia" w:ascii="仿宋" w:hAnsi="仿宋" w:eastAsia="仿宋" w:cs="仿宋"/>
          <w:color w:val="auto"/>
          <w:kern w:val="0"/>
          <w:sz w:val="24"/>
          <w:szCs w:val="24"/>
          <w:highlight w:val="none"/>
        </w:rPr>
        <w:t>水箱水及二次供水检测报告。</w:t>
      </w:r>
      <w:r>
        <w:rPr>
          <w:rFonts w:hint="eastAsia" w:ascii="仿宋" w:hAnsi="仿宋" w:eastAsia="仿宋" w:cs="仿宋"/>
          <w:color w:val="auto"/>
          <w:kern w:val="0"/>
          <w:sz w:val="24"/>
          <w:szCs w:val="24"/>
          <w:highlight w:val="none"/>
          <w:lang w:val="en-US" w:eastAsia="zh-CN"/>
        </w:rPr>
        <w:t>热水水箱，</w:t>
      </w:r>
      <w:r>
        <w:rPr>
          <w:rFonts w:hint="eastAsia" w:ascii="仿宋" w:hAnsi="仿宋" w:eastAsia="仿宋" w:cs="仿宋"/>
          <w:i w:val="0"/>
          <w:iCs w:val="0"/>
          <w:color w:val="auto"/>
          <w:kern w:val="0"/>
          <w:sz w:val="24"/>
          <w:szCs w:val="24"/>
          <w:u w:val="none"/>
          <w:lang w:val="en-US" w:eastAsia="zh-CN"/>
        </w:rPr>
        <w:t>清洗1次/年，清洗后符合绍兴市二次供水卫生要求，完成清洗后提供第三方出具二次供水合格检测报告。</w:t>
      </w:r>
    </w:p>
    <w:p w14:paraId="78F38530">
      <w:pPr>
        <w:pStyle w:val="8"/>
        <w:keepNext w:val="0"/>
        <w:keepLines w:val="0"/>
        <w:pageBreakBefore w:val="0"/>
        <w:widowControl w:val="0"/>
        <w:kinsoku/>
        <w:wordWrap/>
        <w:overflowPunct/>
        <w:topLinePunct w:val="0"/>
        <w:autoSpaceDE/>
        <w:bidi w:val="0"/>
        <w:snapToGrid/>
        <w:spacing w:line="360" w:lineRule="auto"/>
        <w:ind w:left="0" w:leftChars="0" w:firstLine="0" w:firstLineChars="0"/>
        <w:textAlignment w:val="auto"/>
        <w:rPr>
          <w:rFonts w:hint="eastAsia" w:ascii="仿宋" w:hAnsi="仿宋" w:eastAsia="仿宋" w:cs="仿宋"/>
          <w:color w:val="auto"/>
        </w:rPr>
      </w:pPr>
      <w:r>
        <w:rPr>
          <w:rFonts w:hint="eastAsia" w:ascii="仿宋" w:hAnsi="仿宋" w:eastAsia="仿宋" w:cs="仿宋"/>
          <w:iCs/>
          <w:color w:val="auto"/>
          <w:sz w:val="24"/>
          <w:szCs w:val="24"/>
        </w:rPr>
        <w:t>技术要求：严格按照水箱清洗施工工艺进行施工，确保清洗后水箱内部达到表面无污垢、无锈迹，底部无泥沙，水箱无渗漏，清洗后水箱出水水质达到《二次供水设施卫生规范》</w:t>
      </w:r>
      <w:r>
        <w:rPr>
          <w:rFonts w:hint="eastAsia" w:ascii="仿宋" w:hAnsi="仿宋" w:eastAsia="仿宋" w:cs="仿宋"/>
          <w:iCs/>
          <w:color w:val="auto"/>
          <w:sz w:val="24"/>
          <w:szCs w:val="24"/>
          <w:lang w:eastAsia="zh-CN"/>
        </w:rPr>
        <w:t>（</w:t>
      </w:r>
      <w:r>
        <w:rPr>
          <w:rFonts w:hint="eastAsia" w:ascii="仿宋" w:hAnsi="仿宋" w:eastAsia="仿宋" w:cs="仿宋"/>
          <w:iCs/>
          <w:color w:val="auto"/>
          <w:sz w:val="24"/>
          <w:szCs w:val="24"/>
        </w:rPr>
        <w:t>GB 17051</w:t>
      </w:r>
      <w:r>
        <w:rPr>
          <w:rFonts w:hint="eastAsia" w:ascii="仿宋" w:hAnsi="仿宋" w:eastAsia="仿宋" w:cs="仿宋"/>
          <w:iCs/>
          <w:color w:val="auto"/>
          <w:sz w:val="24"/>
          <w:szCs w:val="24"/>
          <w:lang w:eastAsia="zh-CN"/>
        </w:rPr>
        <w:t>）</w:t>
      </w:r>
      <w:r>
        <w:rPr>
          <w:rFonts w:hint="eastAsia" w:ascii="仿宋" w:hAnsi="仿宋" w:eastAsia="仿宋" w:cs="仿宋"/>
          <w:iCs/>
          <w:color w:val="auto"/>
          <w:sz w:val="24"/>
          <w:szCs w:val="24"/>
          <w:lang w:val="en-US" w:eastAsia="zh-CN"/>
        </w:rPr>
        <w:t>及</w:t>
      </w:r>
      <w:r>
        <w:rPr>
          <w:rFonts w:hint="eastAsia" w:ascii="仿宋" w:hAnsi="仿宋" w:eastAsia="仿宋" w:cs="仿宋"/>
          <w:iCs/>
          <w:color w:val="auto"/>
          <w:sz w:val="24"/>
          <w:szCs w:val="24"/>
        </w:rPr>
        <w:t>《生活饮用水卫生标准》</w:t>
      </w:r>
      <w:r>
        <w:rPr>
          <w:rFonts w:hint="eastAsia" w:ascii="仿宋" w:hAnsi="仿宋" w:eastAsia="仿宋" w:cs="仿宋"/>
          <w:iCs/>
          <w:color w:val="auto"/>
          <w:sz w:val="24"/>
          <w:szCs w:val="24"/>
          <w:lang w:val="en-US" w:eastAsia="zh-CN"/>
        </w:rPr>
        <w:t>（</w:t>
      </w:r>
      <w:r>
        <w:rPr>
          <w:rFonts w:hint="eastAsia" w:ascii="仿宋" w:hAnsi="仿宋" w:eastAsia="仿宋" w:cs="仿宋"/>
          <w:iCs/>
          <w:color w:val="auto"/>
          <w:sz w:val="24"/>
          <w:szCs w:val="24"/>
        </w:rPr>
        <w:t>GB</w:t>
      </w:r>
      <w:r>
        <w:rPr>
          <w:rFonts w:hint="eastAsia" w:ascii="仿宋" w:hAnsi="仿宋" w:eastAsia="仿宋" w:cs="仿宋"/>
          <w:iCs/>
          <w:color w:val="auto"/>
          <w:sz w:val="24"/>
          <w:szCs w:val="24"/>
          <w:lang w:val="en-US" w:eastAsia="zh-CN"/>
        </w:rPr>
        <w:t xml:space="preserve"> </w:t>
      </w:r>
      <w:r>
        <w:rPr>
          <w:rFonts w:hint="eastAsia" w:ascii="仿宋" w:hAnsi="仿宋" w:eastAsia="仿宋" w:cs="仿宋"/>
          <w:iCs/>
          <w:color w:val="auto"/>
          <w:sz w:val="24"/>
          <w:szCs w:val="24"/>
        </w:rPr>
        <w:t>5749</w:t>
      </w:r>
      <w:r>
        <w:rPr>
          <w:rFonts w:hint="eastAsia" w:ascii="仿宋" w:hAnsi="仿宋" w:eastAsia="仿宋" w:cs="仿宋"/>
          <w:iCs/>
          <w:color w:val="auto"/>
          <w:sz w:val="24"/>
          <w:szCs w:val="24"/>
          <w:lang w:eastAsia="zh-CN"/>
        </w:rPr>
        <w:t>）</w:t>
      </w:r>
      <w:r>
        <w:rPr>
          <w:rFonts w:hint="eastAsia" w:ascii="仿宋" w:hAnsi="仿宋" w:eastAsia="仿宋" w:cs="仿宋"/>
          <w:iCs/>
          <w:color w:val="auto"/>
          <w:sz w:val="24"/>
          <w:szCs w:val="24"/>
          <w:lang w:val="en-US" w:eastAsia="zh-CN"/>
        </w:rPr>
        <w:t>等相关标准</w:t>
      </w:r>
      <w:r>
        <w:rPr>
          <w:rFonts w:hint="eastAsia" w:ascii="仿宋" w:hAnsi="仿宋" w:eastAsia="仿宋" w:cs="仿宋"/>
          <w:iCs/>
          <w:color w:val="auto"/>
          <w:sz w:val="24"/>
          <w:szCs w:val="24"/>
        </w:rPr>
        <w:t>要求</w:t>
      </w:r>
    </w:p>
    <w:p w14:paraId="7D1B6397">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 xml:space="preserve">1.3 </w:t>
      </w:r>
      <w:r>
        <w:rPr>
          <w:rFonts w:hint="eastAsia" w:ascii="仿宋" w:hAnsi="仿宋" w:eastAsia="仿宋" w:cs="仿宋"/>
          <w:b/>
          <w:bCs/>
          <w:color w:val="auto"/>
          <w:kern w:val="0"/>
          <w:sz w:val="24"/>
          <w:szCs w:val="24"/>
          <w:highlight w:val="none"/>
        </w:rPr>
        <w:t>消毒技术要求</w:t>
      </w:r>
    </w:p>
    <w:p w14:paraId="3B041794">
      <w:pPr>
        <w:keepNext w:val="0"/>
        <w:keepLines w:val="0"/>
        <w:pageBreakBefore w:val="0"/>
        <w:widowControl w:val="0"/>
        <w:kinsoku/>
        <w:wordWrap/>
        <w:overflowPunct/>
        <w:topLinePunct w:val="0"/>
        <w:autoSpaceDE/>
        <w:autoSpaceDN w:val="0"/>
        <w:bidi w:val="0"/>
        <w:adjustRightInd w:val="0"/>
        <w:snapToGrid/>
        <w:spacing w:line="500" w:lineRule="exact"/>
        <w:ind w:firstLine="0" w:firstLineChars="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1.3.1</w:t>
      </w:r>
      <w:r>
        <w:rPr>
          <w:rFonts w:hint="eastAsia" w:ascii="仿宋" w:hAnsi="仿宋" w:eastAsia="仿宋" w:cs="仿宋"/>
          <w:color w:val="auto"/>
          <w:kern w:val="0"/>
          <w:sz w:val="24"/>
          <w:szCs w:val="24"/>
          <w:highlight w:val="none"/>
        </w:rPr>
        <w:t>必要时应对集中空调系统的风管、设备、部件进行消毒处理。</w:t>
      </w:r>
    </w:p>
    <w:p w14:paraId="632E90DE">
      <w:pPr>
        <w:keepNext w:val="0"/>
        <w:keepLines w:val="0"/>
        <w:pageBreakBefore w:val="0"/>
        <w:widowControl w:val="0"/>
        <w:kinsoku/>
        <w:wordWrap/>
        <w:overflowPunct/>
        <w:topLinePunct w:val="0"/>
        <w:autoSpaceDE/>
        <w:autoSpaceDN w:val="0"/>
        <w:bidi w:val="0"/>
        <w:adjustRightInd w:val="0"/>
        <w:snapToGrid/>
        <w:spacing w:line="500" w:lineRule="exact"/>
        <w:ind w:firstLine="0" w:firstLineChars="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rPr>
        <w:t>2部件消毒方法风管应先清洗，后消毒。可采用化学消毒剂喷雾消毒，金属管壁首选季铵盐类消毒剂，非金属管壁首选过氧化物类消毒剂。</w:t>
      </w:r>
    </w:p>
    <w:p w14:paraId="2DFF2D82">
      <w:pPr>
        <w:keepNext w:val="0"/>
        <w:keepLines w:val="0"/>
        <w:pageBreakBefore w:val="0"/>
        <w:widowControl w:val="0"/>
        <w:kinsoku/>
        <w:wordWrap/>
        <w:overflowPunct/>
        <w:topLinePunct w:val="0"/>
        <w:autoSpaceDE/>
        <w:autoSpaceDN w:val="0"/>
        <w:bidi w:val="0"/>
        <w:adjustRightInd w:val="0"/>
        <w:snapToGrid/>
        <w:spacing w:line="500" w:lineRule="exact"/>
        <w:ind w:firstLine="0" w:firstLineChars="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rPr>
        <w:t>.3部件消毒方法</w:t>
      </w:r>
    </w:p>
    <w:p w14:paraId="604CFAC3">
      <w:pPr>
        <w:keepNext w:val="0"/>
        <w:keepLines w:val="0"/>
        <w:pageBreakBefore w:val="0"/>
        <w:widowControl w:val="0"/>
        <w:kinsoku/>
        <w:wordWrap/>
        <w:overflowPunct/>
        <w:topLinePunct w:val="0"/>
        <w:autoSpaceDE/>
        <w:autoSpaceDN w:val="0"/>
        <w:bidi w:val="0"/>
        <w:adjustRightInd w:val="0"/>
        <w:snapToGrid/>
        <w:spacing w:line="500" w:lineRule="exact"/>
        <w:ind w:firstLine="0" w:firstLineChars="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rPr>
        <w:t xml:space="preserve">.3.1冷却水消毒冷却水宜采用物理或化学持续消毒方法。当采用化学消毒时首选含氯消毒剂，将消毒剂加入冷却水中，对冷却水和冷却塔同时进行消毒。  </w:t>
      </w:r>
    </w:p>
    <w:p w14:paraId="5C17FB15">
      <w:pPr>
        <w:keepNext w:val="0"/>
        <w:keepLines w:val="0"/>
        <w:pageBreakBefore w:val="0"/>
        <w:widowControl w:val="0"/>
        <w:kinsoku/>
        <w:wordWrap/>
        <w:overflowPunct/>
        <w:topLinePunct w:val="0"/>
        <w:autoSpaceDE/>
        <w:autoSpaceDN w:val="0"/>
        <w:bidi w:val="0"/>
        <w:adjustRightInd w:val="0"/>
        <w:snapToGrid/>
        <w:spacing w:line="500" w:lineRule="exact"/>
        <w:ind w:firstLine="0" w:firstLineChars="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1.3.4</w:t>
      </w:r>
      <w:r>
        <w:rPr>
          <w:rFonts w:hint="eastAsia" w:ascii="仿宋" w:hAnsi="仿宋" w:eastAsia="仿宋" w:cs="仿宋"/>
          <w:color w:val="auto"/>
          <w:kern w:val="0"/>
          <w:sz w:val="24"/>
          <w:szCs w:val="24"/>
          <w:highlight w:val="none"/>
        </w:rPr>
        <w:t>过滤网、过滤器、冷凝水盘消毒</w:t>
      </w:r>
    </w:p>
    <w:p w14:paraId="74AD65E2">
      <w:pPr>
        <w:keepNext w:val="0"/>
        <w:keepLines w:val="0"/>
        <w:pageBreakBefore w:val="0"/>
        <w:widowControl w:val="0"/>
        <w:kinsoku/>
        <w:wordWrap/>
        <w:overflowPunct/>
        <w:topLinePunct w:val="0"/>
        <w:autoSpaceDE/>
        <w:autoSpaceDN w:val="0"/>
        <w:bidi w:val="0"/>
        <w:adjustRightInd w:val="0"/>
        <w:snapToGrid/>
        <w:spacing w:line="500" w:lineRule="exact"/>
        <w:ind w:firstLine="0" w:firstLineChars="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过滤网、过滤器、冷凝水盘应先清洗，后消毒，采用浸泡消毒方法，部件过大不易浸泡时可采用擦拭或喷雾消毒方法，重复使用的部件首选季铵类消毒剂，不再重复使用的部件首选过氧化物类消毒剂。</w:t>
      </w:r>
    </w:p>
    <w:p w14:paraId="02AD5D9A">
      <w:pPr>
        <w:keepNext w:val="0"/>
        <w:keepLines w:val="0"/>
        <w:pageBreakBefore w:val="0"/>
        <w:widowControl w:val="0"/>
        <w:kinsoku/>
        <w:wordWrap/>
        <w:overflowPunct/>
        <w:topLinePunct w:val="0"/>
        <w:autoSpaceDE/>
        <w:autoSpaceDN w:val="0"/>
        <w:bidi w:val="0"/>
        <w:adjustRightInd w:val="0"/>
        <w:snapToGrid/>
        <w:spacing w:line="500" w:lineRule="exact"/>
        <w:ind w:firstLine="0" w:firstLineChars="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1.3.5</w:t>
      </w:r>
      <w:r>
        <w:rPr>
          <w:rFonts w:hint="eastAsia" w:ascii="仿宋" w:hAnsi="仿宋" w:eastAsia="仿宋" w:cs="仿宋"/>
          <w:color w:val="auto"/>
          <w:kern w:val="0"/>
          <w:sz w:val="24"/>
          <w:szCs w:val="24"/>
          <w:highlight w:val="none"/>
        </w:rPr>
        <w:t>风口、表冷器消毒</w:t>
      </w:r>
    </w:p>
    <w:p w14:paraId="7716B9C6">
      <w:pPr>
        <w:keepNext w:val="0"/>
        <w:keepLines w:val="0"/>
        <w:pageBreakBefore w:val="0"/>
        <w:widowControl w:val="0"/>
        <w:kinsoku/>
        <w:wordWrap/>
        <w:overflowPunct/>
        <w:topLinePunct w:val="0"/>
        <w:autoSpaceDE/>
        <w:autoSpaceDN w:val="0"/>
        <w:bidi w:val="0"/>
        <w:adjustRightInd w:val="0"/>
        <w:snapToGrid/>
        <w:spacing w:line="50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风口、表冷器消毒首选季铵盐类消毒剂，应先清洗，后消毒，采用擦拭或喷雾消毒方法。</w:t>
      </w:r>
    </w:p>
    <w:p w14:paraId="323F0F7E">
      <w:pPr>
        <w:keepNext w:val="0"/>
        <w:keepLines w:val="0"/>
        <w:pageBreakBefore w:val="0"/>
        <w:widowControl w:val="0"/>
        <w:tabs>
          <w:tab w:val="left" w:pos="1365"/>
        </w:tabs>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1.3.6</w:t>
      </w:r>
      <w:r>
        <w:rPr>
          <w:rFonts w:hint="eastAsia" w:ascii="仿宋" w:hAnsi="仿宋" w:eastAsia="仿宋" w:cs="仿宋"/>
          <w:color w:val="auto"/>
          <w:sz w:val="24"/>
          <w:szCs w:val="24"/>
          <w:highlight w:val="none"/>
        </w:rPr>
        <w:t>冷凝水消毒：在冷凝水中加入消毒剂作用一定时间后排放，首选含氯消毒剂。</w:t>
      </w:r>
    </w:p>
    <w:p w14:paraId="0B4CD601">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1.4</w:t>
      </w:r>
      <w:r>
        <w:rPr>
          <w:rFonts w:hint="eastAsia" w:ascii="仿宋" w:hAnsi="仿宋" w:eastAsia="仿宋" w:cs="仿宋"/>
          <w:b/>
          <w:bCs/>
          <w:color w:val="auto"/>
          <w:kern w:val="0"/>
          <w:sz w:val="24"/>
          <w:szCs w:val="24"/>
          <w:highlight w:val="none"/>
        </w:rPr>
        <w:t>清洗、消毒效果及安全措施要求</w:t>
      </w:r>
    </w:p>
    <w:p w14:paraId="1E4DC700">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w:t>
      </w:r>
      <w:r>
        <w:rPr>
          <w:rFonts w:hint="eastAsia" w:ascii="仿宋" w:hAnsi="仿宋" w:eastAsia="仿宋" w:cs="仿宋"/>
          <w:color w:val="auto"/>
          <w:kern w:val="0"/>
          <w:sz w:val="24"/>
          <w:szCs w:val="24"/>
          <w:highlight w:val="none"/>
        </w:rPr>
        <w:t>1清洗、消毒效果</w:t>
      </w:r>
    </w:p>
    <w:p w14:paraId="63B7E7BA">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1.4.2</w:t>
      </w:r>
      <w:r>
        <w:rPr>
          <w:rFonts w:hint="eastAsia" w:ascii="仿宋" w:hAnsi="仿宋" w:eastAsia="仿宋" w:cs="仿宋"/>
          <w:color w:val="auto"/>
          <w:kern w:val="0"/>
          <w:sz w:val="24"/>
          <w:szCs w:val="24"/>
          <w:highlight w:val="none"/>
        </w:rPr>
        <w:t>清洗效果要求</w:t>
      </w:r>
    </w:p>
    <w:p w14:paraId="12923B44">
      <w:pPr>
        <w:pageBreakBefore w:val="0"/>
        <w:widowControl w:val="0"/>
        <w:kinsoku/>
        <w:wordWrap/>
        <w:overflowPunct/>
        <w:topLinePunct w:val="0"/>
        <w:autoSpaceDN w:val="0"/>
        <w:bidi w:val="0"/>
        <w:snapToGrid/>
        <w:spacing w:line="500" w:lineRule="exact"/>
        <w:ind w:firstLine="364" w:firstLineChars="152"/>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风管清洗后，风管内表面积尘残留量宜小于1g/m2，风管内表面细菌总数，真菌总数应小于100CFU/m2。部件清洗后，表面细菌总数、真菌总数应小于100CFU/m2。</w:t>
      </w:r>
    </w:p>
    <w:p w14:paraId="6224F8CD">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1.4.3</w:t>
      </w:r>
      <w:r>
        <w:rPr>
          <w:rFonts w:hint="eastAsia" w:ascii="仿宋" w:hAnsi="仿宋" w:eastAsia="仿宋" w:cs="仿宋"/>
          <w:color w:val="auto"/>
          <w:kern w:val="0"/>
          <w:sz w:val="24"/>
          <w:szCs w:val="24"/>
          <w:highlight w:val="none"/>
        </w:rPr>
        <w:t>消毒效果要求</w:t>
      </w:r>
    </w:p>
    <w:p w14:paraId="25BCB9D5">
      <w:pPr>
        <w:pageBreakBefore w:val="0"/>
        <w:widowControl w:val="0"/>
        <w:kinsoku/>
        <w:wordWrap/>
        <w:overflowPunct/>
        <w:topLinePunct w:val="0"/>
        <w:autoSpaceDN w:val="0"/>
        <w:bidi w:val="0"/>
        <w:snapToGrid/>
        <w:spacing w:line="500" w:lineRule="exact"/>
        <w:ind w:firstLine="364" w:firstLineChars="152"/>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集中空调系统消毒后，其自然菌去除率应大于90%，风管内表面细菌总数，真菌总数应小于100CFU/m2，且致微生物不得检出。</w:t>
      </w:r>
    </w:p>
    <w:p w14:paraId="14DC98B5">
      <w:pPr>
        <w:pStyle w:val="12"/>
        <w:ind w:left="0" w:leftChars="0" w:firstLine="0" w:firstLineChars="0"/>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1.4.4冷却水消毒效果</w:t>
      </w:r>
    </w:p>
    <w:p w14:paraId="748D6118">
      <w:pPr>
        <w:pStyle w:val="12"/>
        <w:ind w:left="0" w:leftChars="0" w:firstLine="480" w:firstLineChars="200"/>
        <w:rPr>
          <w:rFonts w:hint="eastAsia"/>
          <w:color w:val="auto"/>
          <w:sz w:val="24"/>
          <w:szCs w:val="24"/>
        </w:rPr>
      </w:pPr>
      <w:r>
        <w:rPr>
          <w:rFonts w:hint="eastAsia" w:ascii="仿宋" w:hAnsi="仿宋" w:eastAsia="仿宋" w:cs="仿宋"/>
          <w:color w:val="auto"/>
          <w:sz w:val="24"/>
          <w:szCs w:val="24"/>
          <w:highlight w:val="none"/>
        </w:rPr>
        <w:t>冷却水消毒后，其自然菌去除率应大于90%，且嗜肺军团菌等致病微生物不得检出。</w:t>
      </w:r>
    </w:p>
    <w:p w14:paraId="4A5C988A">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1.4.5</w:t>
      </w:r>
      <w:r>
        <w:rPr>
          <w:rFonts w:hint="eastAsia" w:ascii="仿宋" w:hAnsi="仿宋" w:eastAsia="仿宋" w:cs="仿宋"/>
          <w:color w:val="auto"/>
          <w:kern w:val="0"/>
          <w:sz w:val="24"/>
          <w:szCs w:val="24"/>
          <w:highlight w:val="none"/>
        </w:rPr>
        <w:t>清洗、消毒效果检验</w:t>
      </w:r>
    </w:p>
    <w:p w14:paraId="6FDCCF0D">
      <w:pPr>
        <w:pageBreakBefore w:val="0"/>
        <w:widowControl w:val="0"/>
        <w:shd w:val="solid" w:color="FFFFFF" w:fill="auto"/>
        <w:kinsoku/>
        <w:wordWrap/>
        <w:overflowPunct/>
        <w:topLinePunct w:val="0"/>
        <w:autoSpaceDN w:val="0"/>
        <w:bidi w:val="0"/>
        <w:snapToGrid/>
        <w:spacing w:line="500" w:lineRule="exact"/>
        <w:ind w:firstLine="480" w:firstLineChars="200"/>
        <w:jc w:val="left"/>
        <w:textAlignment w:val="auto"/>
        <w:rPr>
          <w:rFonts w:hint="eastAsia" w:ascii="仿宋" w:hAnsi="仿宋" w:eastAsia="仿宋" w:cs="仿宋"/>
          <w:b/>
          <w:bCs/>
          <w:color w:val="auto"/>
          <w:kern w:val="0"/>
          <w:sz w:val="24"/>
          <w:szCs w:val="24"/>
          <w:highlight w:val="none"/>
        </w:rPr>
      </w:pPr>
      <w:r>
        <w:rPr>
          <w:rFonts w:hint="eastAsia" w:ascii="仿宋" w:hAnsi="仿宋" w:eastAsia="仿宋" w:cs="仿宋"/>
          <w:color w:val="auto"/>
          <w:kern w:val="0"/>
          <w:sz w:val="24"/>
          <w:szCs w:val="24"/>
          <w:highlight w:val="none"/>
        </w:rPr>
        <w:t>集中空调系统清洗、</w:t>
      </w:r>
      <w:r>
        <w:rPr>
          <w:rFonts w:hint="eastAsia" w:ascii="仿宋" w:hAnsi="仿宋" w:eastAsia="仿宋" w:cs="仿宋"/>
          <w:b/>
          <w:color w:val="auto"/>
          <w:kern w:val="0"/>
          <w:sz w:val="24"/>
          <w:szCs w:val="24"/>
          <w:highlight w:val="none"/>
        </w:rPr>
        <w:t>消毒后7日内，由绍兴市疾控部门按照有关卫生要求进行检验；</w:t>
      </w:r>
      <w:r>
        <w:rPr>
          <w:rFonts w:hint="eastAsia" w:ascii="仿宋" w:hAnsi="仿宋" w:eastAsia="仿宋" w:cs="仿宋"/>
          <w:color w:val="auto"/>
          <w:kern w:val="0"/>
          <w:sz w:val="24"/>
          <w:szCs w:val="24"/>
          <w:highlight w:val="none"/>
          <w:shd w:val="clear" w:color="auto" w:fill="FFFFFF"/>
        </w:rPr>
        <w:t>冷却塔清洗完成后，提供</w:t>
      </w:r>
      <w:r>
        <w:rPr>
          <w:rFonts w:hint="eastAsia" w:ascii="仿宋" w:hAnsi="仿宋" w:eastAsia="仿宋" w:cs="仿宋"/>
          <w:color w:val="auto"/>
          <w:kern w:val="0"/>
          <w:sz w:val="24"/>
          <w:szCs w:val="24"/>
          <w:highlight w:val="none"/>
        </w:rPr>
        <w:t>有资质的第三方检测的</w:t>
      </w:r>
      <w:r>
        <w:rPr>
          <w:rFonts w:hint="eastAsia" w:ascii="仿宋" w:hAnsi="仿宋" w:eastAsia="仿宋" w:cs="仿宋"/>
          <w:color w:val="auto"/>
          <w:kern w:val="0"/>
          <w:sz w:val="24"/>
          <w:szCs w:val="24"/>
          <w:highlight w:val="none"/>
          <w:shd w:val="clear" w:color="auto" w:fill="FFFFFF"/>
        </w:rPr>
        <w:t>嗜肺军团菌合格检测报告；生活水箱</w:t>
      </w:r>
      <w:r>
        <w:rPr>
          <w:rFonts w:hint="eastAsia" w:ascii="仿宋" w:hAnsi="仿宋" w:eastAsia="仿宋" w:cs="仿宋"/>
          <w:color w:val="auto"/>
          <w:kern w:val="0"/>
          <w:sz w:val="24"/>
          <w:szCs w:val="24"/>
          <w:highlight w:val="none"/>
        </w:rPr>
        <w:t>清洗后符合绍兴市二次供水卫生要求，清洗后出具水箱水及二次供水检测报告。</w:t>
      </w:r>
    </w:p>
    <w:p w14:paraId="58B09629">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1.4.6</w:t>
      </w:r>
      <w:r>
        <w:rPr>
          <w:rFonts w:hint="eastAsia" w:ascii="仿宋" w:hAnsi="仿宋" w:eastAsia="仿宋" w:cs="仿宋"/>
          <w:color w:val="auto"/>
          <w:kern w:val="0"/>
          <w:sz w:val="24"/>
          <w:szCs w:val="24"/>
          <w:highlight w:val="none"/>
        </w:rPr>
        <w:t>清洗效果的影像资料</w:t>
      </w:r>
    </w:p>
    <w:p w14:paraId="44AB41DB">
      <w:pPr>
        <w:pageBreakBefore w:val="0"/>
        <w:widowControl w:val="0"/>
        <w:kinsoku/>
        <w:wordWrap/>
        <w:overflowPunct/>
        <w:topLinePunct w:val="0"/>
        <w:autoSpaceDN w:val="0"/>
        <w:bidi w:val="0"/>
        <w:snapToGrid/>
        <w:spacing w:line="500" w:lineRule="exact"/>
        <w:ind w:firstLine="364" w:firstLineChars="152"/>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集中空调系统清洗后，应将所有清洗过程制成影像资料，影像资料中应有区分不同清洗区域的标识。</w:t>
      </w:r>
    </w:p>
    <w:p w14:paraId="4C910C83">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1.4.7</w:t>
      </w:r>
      <w:r>
        <w:rPr>
          <w:rFonts w:hint="eastAsia" w:ascii="仿宋" w:hAnsi="仿宋" w:eastAsia="仿宋" w:cs="仿宋"/>
          <w:color w:val="auto"/>
          <w:kern w:val="0"/>
          <w:sz w:val="24"/>
          <w:szCs w:val="24"/>
          <w:highlight w:val="none"/>
        </w:rPr>
        <w:t>安全措施</w:t>
      </w:r>
    </w:p>
    <w:p w14:paraId="4704A54B">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1.4.7.1</w:t>
      </w:r>
      <w:r>
        <w:rPr>
          <w:rFonts w:hint="eastAsia" w:ascii="仿宋" w:hAnsi="仿宋" w:eastAsia="仿宋" w:cs="仿宋"/>
          <w:color w:val="auto"/>
          <w:kern w:val="0"/>
          <w:sz w:val="24"/>
          <w:szCs w:val="24"/>
          <w:highlight w:val="none"/>
        </w:rPr>
        <w:t>清洗单位应遵守有关的安全规定制定安全制度，清洗现场应设置安全员，加强清洗施工人员的个人防护，采取有效措施保证清洗施工人员及建筑物内人员的安全，并保护好环境。</w:t>
      </w:r>
    </w:p>
    <w:p w14:paraId="0B7C5D75">
      <w:pPr>
        <w:spacing w:line="336" w:lineRule="auto"/>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1.4.7.2</w:t>
      </w:r>
      <w:r>
        <w:rPr>
          <w:rFonts w:hint="eastAsia" w:ascii="仿宋" w:hAnsi="仿宋" w:eastAsia="仿宋" w:cs="仿宋"/>
          <w:sz w:val="24"/>
        </w:rPr>
        <w:t>施工前必须事前查看现场，对施工范围内采购人的所有物品进行必要遮拦，绝对不允许发生任何安全事故和对采购人财务损伤及丢失现象。</w:t>
      </w:r>
    </w:p>
    <w:p w14:paraId="261CCB8D">
      <w:pPr>
        <w:spacing w:line="336" w:lineRule="auto"/>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1.4.7.3</w:t>
      </w:r>
      <w:r>
        <w:rPr>
          <w:rFonts w:hint="eastAsia" w:ascii="仿宋" w:hAnsi="仿宋" w:eastAsia="仿宋" w:cs="仿宋"/>
          <w:sz w:val="24"/>
        </w:rPr>
        <w:t>用电源是要分清零、火、地线，防止设备漏电伤人。</w:t>
      </w:r>
    </w:p>
    <w:p w14:paraId="5EBAE4EC">
      <w:pPr>
        <w:spacing w:line="336" w:lineRule="auto"/>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1.4.7.4</w:t>
      </w:r>
      <w:r>
        <w:rPr>
          <w:rFonts w:hint="eastAsia" w:ascii="仿宋" w:hAnsi="仿宋" w:eastAsia="仿宋" w:cs="仿宋"/>
          <w:sz w:val="24"/>
        </w:rPr>
        <w:t>操作人员绝对禁止任何原因发生工具高空坠现象。</w:t>
      </w:r>
    </w:p>
    <w:p w14:paraId="2CEE810C">
      <w:pPr>
        <w:widowControl/>
        <w:spacing w:line="336" w:lineRule="auto"/>
        <w:jc w:val="left"/>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1.4.7.5</w:t>
      </w:r>
      <w:r>
        <w:rPr>
          <w:rFonts w:hint="eastAsia" w:ascii="仿宋" w:hAnsi="仿宋" w:eastAsia="仿宋" w:cs="仿宋"/>
          <w:sz w:val="24"/>
        </w:rPr>
        <w:t>上吊顶时，要确认能否上人，要注意脚下踩龙骨，必要时要铺上木板，手不要拉软管和细水管，遇到线头要用绝缘胶带裹上，绝对不允许发生任何原因造成吊顶板内各种建筑材料损坏。</w:t>
      </w:r>
    </w:p>
    <w:p w14:paraId="56B94088">
      <w:pPr>
        <w:widowControl/>
        <w:spacing w:line="336" w:lineRule="auto"/>
        <w:jc w:val="left"/>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1.4.7.6</w:t>
      </w:r>
      <w:r>
        <w:rPr>
          <w:rFonts w:hint="eastAsia" w:ascii="仿宋" w:hAnsi="仿宋" w:eastAsia="仿宋" w:cs="仿宋"/>
          <w:sz w:val="24"/>
        </w:rPr>
        <w:t>使用电动工具时，要注意周围的物体，预防绕进电钻里发生危险。</w:t>
      </w:r>
    </w:p>
    <w:p w14:paraId="064D64F3">
      <w:pPr>
        <w:widowControl/>
        <w:spacing w:line="336" w:lineRule="auto"/>
        <w:jc w:val="left"/>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1.4.7.7</w:t>
      </w:r>
      <w:r>
        <w:rPr>
          <w:rFonts w:hint="eastAsia" w:ascii="仿宋" w:hAnsi="仿宋" w:eastAsia="仿宋" w:cs="仿宋"/>
          <w:sz w:val="24"/>
        </w:rPr>
        <w:t>每天工程完毕后，要把</w:t>
      </w:r>
      <w:r>
        <w:rPr>
          <w:rFonts w:hint="eastAsia" w:ascii="仿宋" w:hAnsi="仿宋" w:eastAsia="仿宋" w:cs="Arial"/>
          <w:color w:val="333333"/>
          <w:sz w:val="24"/>
        </w:rPr>
        <w:t>高压气动泵</w:t>
      </w:r>
      <w:r>
        <w:rPr>
          <w:rFonts w:hint="eastAsia" w:ascii="仿宋" w:hAnsi="仿宋" w:eastAsia="仿宋" w:cs="仿宋"/>
          <w:sz w:val="24"/>
        </w:rPr>
        <w:t>的气压排空。</w:t>
      </w:r>
    </w:p>
    <w:p w14:paraId="3200C7A1">
      <w:pPr>
        <w:widowControl/>
        <w:spacing w:line="336" w:lineRule="auto"/>
        <w:jc w:val="left"/>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1.4.7.8</w:t>
      </w:r>
      <w:r>
        <w:rPr>
          <w:rFonts w:hint="eastAsia" w:ascii="仿宋" w:hAnsi="仿宋" w:eastAsia="仿宋" w:cs="仿宋"/>
          <w:sz w:val="24"/>
        </w:rPr>
        <w:t>对所有工作的区域进行遮盖，如发生让采购人财务损失将进行赔偿，情节严重的将追究责任人刑事责任。</w:t>
      </w:r>
    </w:p>
    <w:p w14:paraId="55498135">
      <w:pPr>
        <w:widowControl/>
        <w:spacing w:line="336" w:lineRule="auto"/>
        <w:jc w:val="left"/>
        <w:rPr>
          <w:rFonts w:ascii="仿宋" w:hAnsi="仿宋" w:eastAsia="仿宋" w:cs="仿宋"/>
          <w:sz w:val="24"/>
        </w:rPr>
      </w:pPr>
      <w:r>
        <w:rPr>
          <w:rFonts w:hint="eastAsia" w:ascii="仿宋" w:hAnsi="仿宋" w:eastAsia="仿宋" w:cs="仿宋"/>
          <w:color w:val="auto"/>
          <w:kern w:val="0"/>
          <w:sz w:val="24"/>
          <w:szCs w:val="24"/>
          <w:highlight w:val="none"/>
          <w:lang w:val="en-US" w:eastAsia="zh-CN"/>
        </w:rPr>
        <w:t>1.4.7.9</w:t>
      </w:r>
      <w:r>
        <w:rPr>
          <w:rFonts w:hint="eastAsia" w:ascii="仿宋" w:hAnsi="仿宋" w:eastAsia="仿宋" w:cs="仿宋"/>
          <w:sz w:val="24"/>
        </w:rPr>
        <w:t>在清洗过程中若发生安全责任事故，造成一切损失由中标人自行负责。</w:t>
      </w:r>
    </w:p>
    <w:p w14:paraId="7BD735F4">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1.4.7.10</w:t>
      </w:r>
      <w:r>
        <w:rPr>
          <w:rFonts w:hint="eastAsia" w:ascii="仿宋" w:hAnsi="仿宋" w:eastAsia="仿宋" w:cs="仿宋"/>
          <w:sz w:val="24"/>
        </w:rPr>
        <w:t>中标人应遵守国家有关安全规章制定，制定安全管理方案和预案，设置安全管理人员，采取有效措施保证清洗过程中人员及财产安全。</w:t>
      </w:r>
    </w:p>
    <w:p w14:paraId="1AEBAE79">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1.4.8</w:t>
      </w:r>
      <w:r>
        <w:rPr>
          <w:rFonts w:hint="eastAsia" w:ascii="仿宋" w:hAnsi="仿宋" w:eastAsia="仿宋" w:cs="仿宋"/>
          <w:color w:val="auto"/>
          <w:kern w:val="0"/>
          <w:sz w:val="24"/>
          <w:szCs w:val="24"/>
          <w:highlight w:val="none"/>
        </w:rPr>
        <w:t>污物处理</w:t>
      </w:r>
    </w:p>
    <w:p w14:paraId="45249A78">
      <w:pPr>
        <w:pageBreakBefore w:val="0"/>
        <w:widowControl w:val="0"/>
        <w:shd w:val="solid" w:color="FFFFFF" w:fill="auto"/>
        <w:kinsoku/>
        <w:wordWrap/>
        <w:overflowPunct/>
        <w:topLinePunct w:val="0"/>
        <w:autoSpaceDN w:val="0"/>
        <w:bidi w:val="0"/>
        <w:snapToGrid/>
        <w:spacing w:line="500" w:lineRule="exact"/>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从集中空调系统的风管清除出来的所有污物均应妥善保存，积尘使用含氯消毒剂直接浇洒致其完全湿润后按普通垃圾处理，其他污染物按有关规定进行处理。</w:t>
      </w:r>
    </w:p>
    <w:p w14:paraId="7A088E0E">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1.4.9</w:t>
      </w:r>
      <w:r>
        <w:rPr>
          <w:rFonts w:hint="eastAsia" w:ascii="仿宋" w:hAnsi="仿宋" w:eastAsia="仿宋" w:cs="仿宋"/>
          <w:b/>
          <w:bCs/>
          <w:color w:val="auto"/>
          <w:kern w:val="0"/>
          <w:sz w:val="24"/>
          <w:szCs w:val="24"/>
          <w:highlight w:val="none"/>
        </w:rPr>
        <w:t>其他要求</w:t>
      </w:r>
    </w:p>
    <w:p w14:paraId="4AE05BBA">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color w:val="auto"/>
          <w:kern w:val="0"/>
          <w:sz w:val="24"/>
          <w:szCs w:val="24"/>
          <w:highlight w:val="none"/>
        </w:rPr>
        <w:t>1 做好施工清洗计划，进入科室施工清洗前应事先与维修科专人负责人联系，配合与各部门主任（护士长）沟通，清洗时间必须按科室要求。需拆下清洗按采购方指定位置进行清洗。</w:t>
      </w:r>
    </w:p>
    <w:p w14:paraId="5D7A85FF">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color w:val="auto"/>
          <w:kern w:val="0"/>
          <w:sz w:val="24"/>
          <w:szCs w:val="24"/>
          <w:highlight w:val="none"/>
        </w:rPr>
        <w:t>.2清洗完成后由各科室护士长签名确认。</w:t>
      </w:r>
    </w:p>
    <w:p w14:paraId="74D89424">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color w:val="auto"/>
          <w:kern w:val="0"/>
          <w:sz w:val="24"/>
          <w:szCs w:val="24"/>
          <w:highlight w:val="none"/>
        </w:rPr>
        <w:t>3第一次清洗工作在</w:t>
      </w:r>
      <w:r>
        <w:rPr>
          <w:rFonts w:hint="eastAsia" w:ascii="仿宋" w:hAnsi="仿宋" w:eastAsia="仿宋" w:cs="仿宋"/>
          <w:color w:val="auto"/>
          <w:kern w:val="0"/>
          <w:sz w:val="24"/>
          <w:szCs w:val="24"/>
          <w:highlight w:val="none"/>
          <w:lang w:val="en-US" w:eastAsia="zh-CN"/>
        </w:rPr>
        <w:t>90</w:t>
      </w:r>
      <w:r>
        <w:rPr>
          <w:rFonts w:hint="eastAsia" w:ascii="仿宋" w:hAnsi="仿宋" w:eastAsia="仿宋" w:cs="仿宋"/>
          <w:color w:val="auto"/>
          <w:kern w:val="0"/>
          <w:sz w:val="24"/>
          <w:szCs w:val="24"/>
          <w:highlight w:val="none"/>
        </w:rPr>
        <w:t>天内完成，具体以签订合同为准</w:t>
      </w:r>
      <w:r>
        <w:rPr>
          <w:rFonts w:hint="eastAsia" w:ascii="仿宋" w:hAnsi="仿宋" w:eastAsia="仿宋" w:cs="仿宋"/>
          <w:color w:val="auto"/>
          <w:kern w:val="0"/>
          <w:sz w:val="24"/>
          <w:szCs w:val="24"/>
          <w:highlight w:val="none"/>
          <w:lang w:eastAsia="zh-CN"/>
        </w:rPr>
        <w:t>。</w:t>
      </w:r>
    </w:p>
    <w:p w14:paraId="52C1667F">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color w:val="auto"/>
          <w:kern w:val="0"/>
          <w:sz w:val="24"/>
          <w:szCs w:val="24"/>
          <w:highlight w:val="none"/>
        </w:rPr>
        <w:t>4 做到工完场清，处理好清洗时留下的印迹，若清场未到位出现问题由承包方承担。</w:t>
      </w:r>
    </w:p>
    <w:p w14:paraId="6859B18C">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color w:val="auto"/>
          <w:kern w:val="0"/>
          <w:sz w:val="24"/>
          <w:szCs w:val="24"/>
          <w:highlight w:val="none"/>
        </w:rPr>
        <w:t>5清洗工作要加强对成品的保护，因清洗引起的原因造成成品损坏须按原价赔偿损失。</w:t>
      </w:r>
    </w:p>
    <w:p w14:paraId="2D5BE36E">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color w:val="auto"/>
          <w:kern w:val="0"/>
          <w:sz w:val="24"/>
          <w:szCs w:val="24"/>
          <w:highlight w:val="none"/>
        </w:rPr>
        <w:t>6中标单位在施工前须保存清洗前的影像和照片，施工后再次保存清洗后的影像和照片，并与检测报告以及清洗药剂等相关清洗资料统一制作成册，作为支付款项的依据。</w:t>
      </w:r>
    </w:p>
    <w:p w14:paraId="52C4D243">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color w:val="auto"/>
          <w:kern w:val="0"/>
          <w:sz w:val="24"/>
          <w:szCs w:val="24"/>
          <w:highlight w:val="none"/>
        </w:rPr>
        <w:t>7清洗安装完调试运转正常由采购方验收，验收时</w:t>
      </w:r>
      <w:r>
        <w:rPr>
          <w:rFonts w:hint="eastAsia" w:ascii="仿宋" w:hAnsi="仿宋" w:eastAsia="仿宋" w:cs="仿宋"/>
          <w:color w:val="auto"/>
          <w:kern w:val="0"/>
          <w:sz w:val="24"/>
          <w:szCs w:val="24"/>
          <w:highlight w:val="none"/>
          <w:lang w:val="en-US" w:eastAsia="zh-CN"/>
        </w:rPr>
        <w:t>需</w:t>
      </w:r>
      <w:r>
        <w:rPr>
          <w:rFonts w:hint="eastAsia" w:ascii="仿宋" w:hAnsi="仿宋" w:eastAsia="仿宋" w:cs="仿宋"/>
          <w:color w:val="auto"/>
          <w:kern w:val="0"/>
          <w:sz w:val="24"/>
          <w:szCs w:val="24"/>
          <w:highlight w:val="none"/>
        </w:rPr>
        <w:t>提供清洗过程和清洗质量的影像资料一份及疾控检测合格资料。</w:t>
      </w:r>
    </w:p>
    <w:p w14:paraId="7014B3C0">
      <w:pPr>
        <w:keepNext/>
        <w:keepLines/>
        <w:pageBreakBefore w:val="0"/>
        <w:widowControl w:val="0"/>
        <w:kinsoku/>
        <w:wordWrap/>
        <w:overflowPunct/>
        <w:topLinePunct w:val="0"/>
        <w:bidi w:val="0"/>
        <w:snapToGrid/>
        <w:spacing w:line="500" w:lineRule="exact"/>
        <w:textAlignment w:val="auto"/>
        <w:outlineLvl w:val="0"/>
        <w:rPr>
          <w:rFonts w:hint="eastAsia" w:ascii="仿宋" w:hAnsi="仿宋" w:eastAsia="仿宋" w:cs="仿宋"/>
          <w:bCs/>
          <w:color w:val="auto"/>
          <w:kern w:val="44"/>
          <w:sz w:val="24"/>
          <w:szCs w:val="24"/>
          <w:highlight w:val="none"/>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bCs/>
          <w:color w:val="auto"/>
          <w:kern w:val="44"/>
          <w:sz w:val="24"/>
          <w:szCs w:val="24"/>
          <w:highlight w:val="none"/>
        </w:rPr>
        <w:t>8</w:t>
      </w:r>
      <w:r>
        <w:rPr>
          <w:rFonts w:hint="eastAsia" w:ascii="仿宋" w:hAnsi="仿宋" w:eastAsia="仿宋" w:cs="仿宋"/>
          <w:bCs/>
          <w:color w:val="auto"/>
          <w:kern w:val="44"/>
          <w:sz w:val="24"/>
          <w:szCs w:val="24"/>
          <w:highlight w:val="none"/>
          <w:lang w:val="en-US" w:eastAsia="zh-CN"/>
        </w:rPr>
        <w:t>需</w:t>
      </w:r>
      <w:r>
        <w:rPr>
          <w:rFonts w:hint="eastAsia" w:ascii="仿宋" w:hAnsi="仿宋" w:eastAsia="仿宋" w:cs="仿宋"/>
          <w:bCs/>
          <w:color w:val="auto"/>
          <w:kern w:val="44"/>
          <w:sz w:val="24"/>
          <w:szCs w:val="24"/>
          <w:highlight w:val="none"/>
        </w:rPr>
        <w:t>向</w:t>
      </w:r>
      <w:r>
        <w:rPr>
          <w:rFonts w:hint="eastAsia" w:ascii="仿宋" w:hAnsi="仿宋" w:eastAsia="仿宋" w:cs="仿宋"/>
          <w:bCs/>
          <w:color w:val="auto"/>
          <w:kern w:val="44"/>
          <w:sz w:val="24"/>
          <w:szCs w:val="24"/>
          <w:highlight w:val="none"/>
          <w:lang w:val="en-US" w:eastAsia="zh-CN"/>
        </w:rPr>
        <w:t>医院</w:t>
      </w:r>
      <w:r>
        <w:rPr>
          <w:rFonts w:hint="eastAsia" w:ascii="仿宋" w:hAnsi="仿宋" w:eastAsia="仿宋" w:cs="仿宋"/>
          <w:bCs/>
          <w:color w:val="auto"/>
          <w:kern w:val="44"/>
          <w:sz w:val="24"/>
          <w:szCs w:val="24"/>
          <w:highlight w:val="none"/>
        </w:rPr>
        <w:t>提供设备保养检查记录，排除可能存在的隐患。</w:t>
      </w:r>
    </w:p>
    <w:p w14:paraId="29DA18A1">
      <w:pPr>
        <w:keepNext/>
        <w:keepLines/>
        <w:pageBreakBefore w:val="0"/>
        <w:widowControl w:val="0"/>
        <w:kinsoku/>
        <w:wordWrap/>
        <w:overflowPunct/>
        <w:topLinePunct w:val="0"/>
        <w:bidi w:val="0"/>
        <w:snapToGrid/>
        <w:spacing w:line="500" w:lineRule="exact"/>
        <w:textAlignment w:val="auto"/>
        <w:outlineLvl w:val="0"/>
        <w:rPr>
          <w:rFonts w:hint="eastAsia" w:ascii="仿宋" w:hAnsi="仿宋" w:eastAsia="仿宋" w:cs="仿宋"/>
          <w:bCs/>
          <w:color w:val="auto"/>
          <w:kern w:val="44"/>
          <w:sz w:val="24"/>
          <w:szCs w:val="24"/>
          <w:highlight w:val="none"/>
          <w:lang w:val="en-US" w:eastAsia="zh-CN"/>
        </w:rPr>
      </w:pPr>
      <w:r>
        <w:rPr>
          <w:rFonts w:hint="eastAsia" w:ascii="仿宋" w:hAnsi="仿宋" w:eastAsia="仿宋" w:cs="仿宋"/>
          <w:color w:val="auto"/>
          <w:kern w:val="0"/>
          <w:sz w:val="24"/>
          <w:szCs w:val="24"/>
          <w:highlight w:val="none"/>
          <w:lang w:val="en-US" w:eastAsia="zh-CN"/>
        </w:rPr>
        <w:t>1.4.9.</w:t>
      </w:r>
      <w:r>
        <w:rPr>
          <w:rFonts w:hint="eastAsia" w:ascii="仿宋" w:hAnsi="仿宋" w:eastAsia="仿宋" w:cs="仿宋"/>
          <w:bCs/>
          <w:color w:val="auto"/>
          <w:kern w:val="44"/>
          <w:sz w:val="24"/>
          <w:szCs w:val="24"/>
          <w:highlight w:val="none"/>
          <w:lang w:val="en-US" w:eastAsia="zh-CN"/>
        </w:rPr>
        <w:t>9若医院设备有更新，维保费用根据所报单价相应增减。</w:t>
      </w:r>
    </w:p>
    <w:p w14:paraId="01B2589F">
      <w:pPr>
        <w:pageBreakBefore w:val="0"/>
        <w:widowControl w:val="0"/>
        <w:kinsoku/>
        <w:wordWrap/>
        <w:overflowPunct/>
        <w:topLinePunct w:val="0"/>
        <w:autoSpaceDN w:val="0"/>
        <w:bidi w:val="0"/>
        <w:snapToGrid/>
        <w:spacing w:line="500" w:lineRule="exac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1.4.9.10</w:t>
      </w:r>
      <w:r>
        <w:rPr>
          <w:rFonts w:hint="eastAsia" w:ascii="仿宋" w:hAnsi="仿宋" w:eastAsia="仿宋" w:cs="仿宋"/>
          <w:color w:val="auto"/>
          <w:kern w:val="0"/>
          <w:sz w:val="24"/>
          <w:szCs w:val="24"/>
          <w:highlight w:val="none"/>
        </w:rPr>
        <w:t>特殊情况维保响应时间不超过30分钟，2小时内到达维修现场，并提供不间断的</w:t>
      </w:r>
      <w:r>
        <w:rPr>
          <w:rFonts w:hint="eastAsia" w:ascii="仿宋" w:hAnsi="仿宋" w:eastAsia="仿宋" w:cs="仿宋"/>
          <w:color w:val="auto"/>
          <w:kern w:val="0"/>
          <w:sz w:val="24"/>
          <w:szCs w:val="24"/>
          <w:highlight w:val="none"/>
          <w:lang w:val="en-US" w:eastAsia="zh-CN"/>
        </w:rPr>
        <w:t>服务</w:t>
      </w:r>
      <w:r>
        <w:rPr>
          <w:rFonts w:hint="eastAsia" w:ascii="仿宋" w:hAnsi="仿宋" w:eastAsia="仿宋" w:cs="仿宋"/>
          <w:color w:val="auto"/>
          <w:kern w:val="0"/>
          <w:sz w:val="24"/>
          <w:szCs w:val="24"/>
          <w:highlight w:val="none"/>
        </w:rPr>
        <w:t>直至空调</w:t>
      </w:r>
      <w:r>
        <w:rPr>
          <w:rFonts w:hint="eastAsia" w:ascii="仿宋" w:hAnsi="仿宋" w:eastAsia="仿宋" w:cs="仿宋"/>
          <w:color w:val="auto"/>
          <w:kern w:val="0"/>
          <w:sz w:val="24"/>
          <w:szCs w:val="24"/>
          <w:highlight w:val="none"/>
          <w:lang w:val="en-US" w:eastAsia="zh-CN"/>
        </w:rPr>
        <w:t>系统水箱</w:t>
      </w:r>
      <w:r>
        <w:rPr>
          <w:rFonts w:hint="eastAsia" w:ascii="仿宋" w:hAnsi="仿宋" w:eastAsia="仿宋" w:cs="仿宋"/>
          <w:color w:val="auto"/>
          <w:kern w:val="0"/>
          <w:sz w:val="24"/>
          <w:szCs w:val="24"/>
          <w:highlight w:val="none"/>
        </w:rPr>
        <w:t>能正常使用。</w:t>
      </w:r>
    </w:p>
    <w:p w14:paraId="0FB8EA45">
      <w:pPr>
        <w:pageBreakBefore w:val="0"/>
        <w:widowControl w:val="0"/>
        <w:kinsoku/>
        <w:wordWrap/>
        <w:overflowPunct/>
        <w:topLinePunct w:val="0"/>
        <w:autoSpaceDN w:val="0"/>
        <w:bidi w:val="0"/>
        <w:snapToGrid/>
        <w:spacing w:line="500" w:lineRule="exact"/>
        <w:textAlignment w:val="auto"/>
        <w:rPr>
          <w:rFonts w:hint="eastAsia" w:ascii="仿宋" w:hAnsi="仿宋" w:eastAsia="仿宋"/>
          <w:sz w:val="24"/>
        </w:rPr>
      </w:pPr>
      <w:r>
        <w:rPr>
          <w:rFonts w:hint="eastAsia" w:ascii="仿宋" w:hAnsi="仿宋" w:eastAsia="仿宋" w:cs="仿宋"/>
          <w:color w:val="auto"/>
          <w:kern w:val="0"/>
          <w:sz w:val="24"/>
          <w:szCs w:val="24"/>
          <w:highlight w:val="none"/>
          <w:lang w:val="en-US" w:eastAsia="zh-CN"/>
        </w:rPr>
        <w:t>1.4.9.11</w:t>
      </w:r>
      <w:r>
        <w:rPr>
          <w:rFonts w:hint="eastAsia" w:ascii="仿宋" w:hAnsi="仿宋" w:eastAsia="仿宋"/>
          <w:sz w:val="24"/>
        </w:rPr>
        <w:t>中标人必须在约定的时间内按质按期完成</w:t>
      </w:r>
      <w:r>
        <w:rPr>
          <w:rFonts w:hint="eastAsia" w:ascii="仿宋" w:hAnsi="仿宋" w:eastAsia="仿宋" w:cs="仿宋"/>
          <w:bCs/>
          <w:sz w:val="24"/>
        </w:rPr>
        <w:t>服务项目内</w:t>
      </w:r>
      <w:r>
        <w:rPr>
          <w:rFonts w:hint="eastAsia" w:ascii="仿宋" w:hAnsi="仿宋" w:eastAsia="仿宋"/>
          <w:sz w:val="24"/>
        </w:rPr>
        <w:t>所有清洗项目并由采购人签字确认，中标人清洗完成后需提交相关部门检测合格后出具合格的检测报告，若每逾期一日扣维保合同总款的1%支付违约金给采购人。</w:t>
      </w:r>
    </w:p>
    <w:p w14:paraId="75F8537A">
      <w:pPr>
        <w:pStyle w:val="2"/>
        <w:ind w:left="0" w:leftChars="0" w:firstLine="0" w:firstLineChars="0"/>
        <w:rPr>
          <w:rFonts w:hint="eastAsia"/>
          <w:b/>
          <w:bCs/>
          <w:lang w:val="en-US" w:eastAsia="zh-CN"/>
        </w:rPr>
      </w:pPr>
      <w:r>
        <w:rPr>
          <w:rFonts w:hint="eastAsia" w:ascii="宋体" w:hAnsi="宋体" w:eastAsia="宋体" w:cs="宋体"/>
          <w:b/>
          <w:bCs/>
          <w:color w:val="auto"/>
          <w:sz w:val="24"/>
          <w:szCs w:val="24"/>
          <w:highlight w:val="none"/>
        </w:rPr>
        <w:t>★</w:t>
      </w:r>
      <w:r>
        <w:rPr>
          <w:rFonts w:hint="eastAsia" w:ascii="仿宋" w:hAnsi="仿宋" w:eastAsia="仿宋" w:cs="仿宋"/>
          <w:b/>
          <w:bCs/>
          <w:color w:val="auto"/>
          <w:kern w:val="0"/>
          <w:sz w:val="24"/>
          <w:szCs w:val="24"/>
          <w:highlight w:val="none"/>
          <w:lang w:val="en-US" w:eastAsia="zh-CN"/>
        </w:rPr>
        <w:t>1.4.9.12本项目投标文件中至少提供一名具有低压电工作业操作证的从业人员。</w:t>
      </w:r>
    </w:p>
    <w:p w14:paraId="06231D5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7D4C7B"/>
    <w:rsid w:val="4BE61512"/>
    <w:rsid w:val="6E5D3D6D"/>
    <w:rsid w:val="7C264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Indent"/>
    <w:basedOn w:val="1"/>
    <w:next w:val="3"/>
    <w:qFormat/>
    <w:uiPriority w:val="0"/>
    <w:pPr>
      <w:spacing w:line="480" w:lineRule="exact"/>
      <w:ind w:firstLine="480" w:firstLineChars="200"/>
    </w:pPr>
    <w:rPr>
      <w:rFonts w:ascii="宋体" w:hAnsi="宋体"/>
      <w:sz w:val="24"/>
    </w:rPr>
  </w:style>
  <w:style w:type="paragraph" w:styleId="3">
    <w:name w:val="envelope return"/>
    <w:basedOn w:val="1"/>
    <w:qFormat/>
    <w:uiPriority w:val="0"/>
    <w:pPr>
      <w:snapToGrid w:val="0"/>
    </w:pPr>
    <w:rPr>
      <w:rFonts w:ascii="Arial" w:hAnsi="Arial"/>
    </w:rPr>
  </w:style>
  <w:style w:type="paragraph" w:styleId="4">
    <w:name w:val="annotation text"/>
    <w:basedOn w:val="1"/>
    <w:qFormat/>
    <w:uiPriority w:val="0"/>
    <w:pPr>
      <w:jc w:val="left"/>
    </w:pPr>
  </w:style>
  <w:style w:type="paragraph" w:styleId="5">
    <w:name w:val="Body Text"/>
    <w:basedOn w:val="1"/>
    <w:qFormat/>
    <w:uiPriority w:val="0"/>
    <w:pPr>
      <w:autoSpaceDE w:val="0"/>
      <w:autoSpaceDN w:val="0"/>
      <w:adjustRightInd w:val="0"/>
      <w:spacing w:line="360" w:lineRule="auto"/>
    </w:pPr>
    <w:rPr>
      <w:rFonts w:ascii="宋体" w:hAnsi="Arial" w:cs="Arial"/>
      <w:snapToGrid w:val="0"/>
      <w:sz w:val="24"/>
      <w:szCs w:val="21"/>
      <w:lang w:val="zh-CN"/>
    </w:rPr>
  </w:style>
  <w:style w:type="paragraph" w:styleId="6">
    <w:name w:val="Title"/>
    <w:basedOn w:val="1"/>
    <w:next w:val="1"/>
    <w:qFormat/>
    <w:uiPriority w:val="0"/>
    <w:pPr>
      <w:widowControl/>
      <w:overflowPunct w:val="0"/>
      <w:autoSpaceDE w:val="0"/>
      <w:autoSpaceDN w:val="0"/>
      <w:adjustRightInd w:val="0"/>
      <w:jc w:val="center"/>
      <w:textAlignment w:val="baseline"/>
    </w:pPr>
    <w:rPr>
      <w:b/>
      <w:kern w:val="0"/>
      <w:sz w:val="24"/>
      <w:szCs w:val="20"/>
      <w:lang w:val="en-GB"/>
    </w:rPr>
  </w:style>
  <w:style w:type="paragraph" w:styleId="7">
    <w:name w:val="Body Text First Indent"/>
    <w:basedOn w:val="5"/>
    <w:next w:val="1"/>
    <w:qFormat/>
    <w:uiPriority w:val="0"/>
    <w:pPr>
      <w:ind w:firstLine="420"/>
    </w:pPr>
    <w:rPr>
      <w:rFonts w:hAnsi="Times New Roman" w:cs="Times New Roman"/>
      <w:snapToGrid/>
      <w:szCs w:val="20"/>
    </w:rPr>
  </w:style>
  <w:style w:type="paragraph" w:styleId="8">
    <w:name w:val="Body Text First Indent 2"/>
    <w:basedOn w:val="2"/>
    <w:next w:val="7"/>
    <w:qFormat/>
    <w:uiPriority w:val="0"/>
    <w:pPr>
      <w:adjustRightInd/>
      <w:spacing w:after="120" w:afterLines="0" w:line="240" w:lineRule="auto"/>
      <w:ind w:left="420" w:leftChars="200" w:firstLine="210"/>
    </w:pPr>
    <w:rPr>
      <w:sz w:val="21"/>
    </w:rPr>
  </w:style>
  <w:style w:type="paragraph" w:customStyle="1" w:styleId="11">
    <w:name w:val="首行缩进"/>
    <w:basedOn w:val="1"/>
    <w:next w:val="5"/>
    <w:qFormat/>
    <w:uiPriority w:val="0"/>
    <w:pPr>
      <w:spacing w:line="360" w:lineRule="auto"/>
      <w:ind w:firstLine="480" w:firstLineChars="200"/>
    </w:pPr>
    <w:rPr>
      <w:rFonts w:ascii="宋体"/>
      <w:sz w:val="24"/>
      <w:szCs w:val="20"/>
    </w:rPr>
  </w:style>
  <w:style w:type="paragraph" w:customStyle="1" w:styleId="12">
    <w:name w:val="列出段落1"/>
    <w:basedOn w:val="1"/>
    <w:next w:val="1"/>
    <w:qFormat/>
    <w:uiPriority w:val="34"/>
    <w:pPr>
      <w:adjustRightInd/>
      <w:spacing w:line="360" w:lineRule="auto"/>
      <w:ind w:firstLine="420" w:firstLineChars="200"/>
    </w:pPr>
    <w:rPr>
      <w:rFonts w:ascii="Calibri" w:hAnsi="Calibri"/>
      <w:sz w:val="24"/>
      <w:szCs w:val="22"/>
    </w:rPr>
  </w:style>
  <w:style w:type="paragraph" w:customStyle="1" w:styleId="13">
    <w:name w:val="Table Text"/>
    <w:basedOn w:val="1"/>
    <w:qFormat/>
    <w:uiPriority w:val="0"/>
    <w:pPr>
      <w:widowControl/>
      <w:spacing w:before="60" w:after="60"/>
      <w:jc w:val="left"/>
    </w:pPr>
    <w:rPr>
      <w:kern w:val="0"/>
      <w:sz w:val="24"/>
    </w:rPr>
  </w:style>
  <w:style w:type="table" w:customStyle="1" w:styleId="14">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4035</Words>
  <Characters>4829</Characters>
  <Lines>0</Lines>
  <Paragraphs>0</Paragraphs>
  <TotalTime>0</TotalTime>
  <ScaleCrop>false</ScaleCrop>
  <LinksUpToDate>false</LinksUpToDate>
  <CharactersWithSpaces>4852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2025-10-28T03:58:00Z</dcterms:created>
  <dc:creator>Administrator</dc:creator>
  <cp:lastModifiedBy>溜溜</cp:lastModifiedBy>
  <dcterms:modified xsi:type="dcterms:W3CDTF">2026-04-28T03:56:54Z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eyJoZGlkIjoiYWFjNTE3NjhkOWQ4OTgwNDA5ZGViNWM3MmJiMGVkNzUiLCJ1c2VySWQiOiIzMDcxODQ2MTcifQ==</vt:lpwstr>
  </property>
  <property fmtid="{D5CDD505-2E9C-101B-9397-08002B2CF9AE}" pid="4" name="ICV">
    <vt:lpwstr>2DA602CC2B754AD2BE603BE89732ACDA_12</vt:lpwstr>
  </property>
</Properties>
</file>