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4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5.2采购项目概况（包括内容、用途、数量、简要技术要求等）：</w:t>
      </w:r>
    </w:p>
    <w:p>
      <w:pPr>
        <w:spacing w:line="440" w:lineRule="exact"/>
        <w:ind w:firstLine="480" w:firstLineChars="200"/>
        <w:rPr>
          <w:rFonts w:hint="eastAsia" w:ascii="宋体" w:hAnsi="宋体" w:cs="宋体"/>
          <w:color w:val="auto"/>
          <w:sz w:val="24"/>
          <w:highlight w:val="none"/>
          <w:u w:val="single"/>
        </w:rPr>
      </w:pPr>
      <w:r>
        <w:rPr>
          <w:rFonts w:hint="eastAsia" w:ascii="宋体" w:hAnsi="宋体" w:cs="宋体"/>
          <w:color w:val="auto"/>
          <w:sz w:val="24"/>
          <w:highlight w:val="none"/>
        </w:rPr>
        <w:t>5.2.1</w:t>
      </w:r>
      <w:r>
        <w:rPr>
          <w:rFonts w:hint="eastAsia" w:ascii="宋体" w:hAnsi="宋体" w:cs="宋体"/>
          <w:color w:val="auto"/>
          <w:sz w:val="24"/>
          <w:highlight w:val="none"/>
          <w:u w:val="single"/>
        </w:rPr>
        <w:t>本次采购主要内容为：绍兴第二医院</w:t>
      </w:r>
      <w:r>
        <w:rPr>
          <w:rFonts w:hint="eastAsia" w:ascii="宋体" w:hAnsi="宋体" w:cs="宋体"/>
          <w:color w:val="auto"/>
          <w:sz w:val="24"/>
          <w:highlight w:val="none"/>
          <w:u w:val="single"/>
          <w:lang w:val="en-US" w:eastAsia="zh-CN"/>
        </w:rPr>
        <w:t>延安路院区</w:t>
      </w:r>
      <w:r>
        <w:rPr>
          <w:rFonts w:hint="eastAsia" w:ascii="宋体" w:hAnsi="宋体" w:cs="宋体"/>
          <w:color w:val="auto"/>
          <w:sz w:val="24"/>
          <w:highlight w:val="none"/>
          <w:u w:val="single"/>
        </w:rPr>
        <w:t>建筑消防设施维修保养、检测</w:t>
      </w:r>
      <w:r>
        <w:rPr>
          <w:rFonts w:hint="eastAsia" w:ascii="宋体" w:hAnsi="宋体" w:cs="宋体"/>
          <w:color w:val="auto"/>
          <w:sz w:val="24"/>
          <w:highlight w:val="none"/>
          <w:u w:val="single"/>
          <w:lang w:eastAsia="zh-CN"/>
        </w:rPr>
        <w:t>评估</w:t>
      </w:r>
      <w:r>
        <w:rPr>
          <w:rFonts w:hint="eastAsia" w:ascii="宋体" w:hAnsi="宋体" w:cs="宋体"/>
          <w:color w:val="auto"/>
          <w:sz w:val="24"/>
          <w:highlight w:val="none"/>
          <w:u w:val="single"/>
          <w:lang w:val="en-US" w:eastAsia="zh-CN"/>
        </w:rPr>
        <w:t xml:space="preserve">；采购周期2年 </w:t>
      </w:r>
      <w:r>
        <w:rPr>
          <w:rFonts w:hint="eastAsia" w:ascii="宋体" w:hAnsi="宋体" w:cs="宋体"/>
          <w:color w:val="auto"/>
          <w:sz w:val="24"/>
          <w:highlight w:val="none"/>
          <w:u w:val="single"/>
        </w:rPr>
        <w:t>。</w:t>
      </w:r>
    </w:p>
    <w:p>
      <w:pPr>
        <w:spacing w:line="480" w:lineRule="exact"/>
        <w:ind w:firstLine="470" w:firstLineChars="196"/>
        <w:rPr>
          <w:rFonts w:hint="eastAsia" w:ascii="宋体" w:hAnsi="宋体" w:cs="宋体"/>
          <w:b w:val="0"/>
          <w:bCs/>
          <w:color w:val="auto"/>
          <w:sz w:val="24"/>
          <w:highlight w:val="none"/>
        </w:rPr>
      </w:pPr>
      <w:r>
        <w:rPr>
          <w:rFonts w:hint="eastAsia" w:ascii="宋体" w:hAnsi="宋体" w:cs="宋体"/>
          <w:b w:val="0"/>
          <w:bCs/>
          <w:color w:val="auto"/>
          <w:sz w:val="24"/>
          <w:highlight w:val="none"/>
        </w:rPr>
        <w:t>5.2.2项目概况：本次采购内容为绍兴第二医院</w:t>
      </w:r>
      <w:r>
        <w:rPr>
          <w:rFonts w:hint="eastAsia" w:ascii="宋体" w:hAnsi="宋体" w:cs="宋体"/>
          <w:b w:val="0"/>
          <w:bCs/>
          <w:color w:val="auto"/>
          <w:sz w:val="24"/>
          <w:highlight w:val="none"/>
          <w:lang w:val="en-US" w:eastAsia="zh-CN"/>
        </w:rPr>
        <w:t>延安路院区</w:t>
      </w:r>
      <w:r>
        <w:rPr>
          <w:rFonts w:hint="eastAsia" w:ascii="宋体" w:hAnsi="宋体" w:cs="宋体"/>
          <w:b w:val="0"/>
          <w:bCs/>
          <w:color w:val="auto"/>
          <w:sz w:val="24"/>
          <w:highlight w:val="none"/>
        </w:rPr>
        <w:t>内各建筑（门诊楼、急诊楼、住院楼（1#楼、2#楼、3#楼）、6#楼、南大楼、红楼、5#楼、福康餐厅、福康讲堂）建筑面积105140平方米，其中装配自动消防灭火装置面积101455平方米，目前我院消控中心主要有二台消防方面的主机设备，分别是深圳泰和安TX3016和深圳泰和安TX3032A。其中泰和安TX3016主机有12个回路，有效点位数量1338只，其中包含感烟836，感温59只，手动报警按钮70只，消火栓按钮110只，声光报警器96只，模块105只，火灾显示盘13台等设备。泰和安TX3032A主机有22个回路，有效点位数量3733只，其中包含感烟2018，感温653只，手动报警按钮192只，消火栓按钮315只，声光报警器37只，模块257只，火灾显示盘54台等设备。另设有气体报警主机14台，消防设备电源状态监控器1台，电气火灾监控设备1台，防火门监控器1台，设置的消防设施维保。</w:t>
      </w:r>
    </w:p>
    <w:p>
      <w:pPr>
        <w:spacing w:line="440" w:lineRule="exact"/>
        <w:ind w:firstLine="480" w:firstLineChars="200"/>
        <w:rPr>
          <w:rFonts w:hint="default" w:ascii="宋体" w:hAnsi="宋体" w:eastAsia="宋体" w:cs="宋体"/>
          <w:color w:val="auto"/>
          <w:sz w:val="24"/>
          <w:highlight w:val="none"/>
          <w:lang w:val="en-US" w:eastAsia="zh-CN"/>
        </w:rPr>
      </w:pPr>
      <w:r>
        <w:rPr>
          <w:rFonts w:hint="eastAsia" w:ascii="宋体" w:hAnsi="宋体" w:cs="宋体"/>
          <w:color w:val="auto"/>
          <w:sz w:val="24"/>
          <w:highlight w:val="none"/>
        </w:rPr>
        <w:t>5.2.2.1消防设施维保内容：1）火灾自动报警及联动控制系统；2）自动喷水灭火系统；3）消火栓给水系统；4）防排烟系统；5）气体灭火系统；6）火灾应急照明和疏散指示标志；7）火灾应急广播及警报装置；8）消防通迅；9）防火分隔；10）消防电梯</w:t>
      </w:r>
      <w:r>
        <w:rPr>
          <w:rFonts w:hint="eastAsia" w:ascii="宋体" w:hAnsi="宋体" w:cs="宋体"/>
          <w:color w:val="auto"/>
          <w:sz w:val="24"/>
          <w:highlight w:val="none"/>
          <w:lang w:eastAsia="zh-CN"/>
        </w:rPr>
        <w:t>，</w:t>
      </w:r>
      <w:r>
        <w:rPr>
          <w:rFonts w:hint="eastAsia" w:ascii="宋体" w:hAnsi="宋体" w:cs="宋体"/>
          <w:color w:val="auto"/>
          <w:sz w:val="24"/>
          <w:highlight w:val="none"/>
          <w:lang w:val="en-US" w:eastAsia="zh-CN"/>
        </w:rPr>
        <w:t>11）消防供配电设施，12）电气火灾监控系统。</w:t>
      </w:r>
    </w:p>
    <w:p>
      <w:pPr>
        <w:spacing w:line="440" w:lineRule="exact"/>
        <w:ind w:firstLine="480" w:firstLineChars="200"/>
        <w:rPr>
          <w:rFonts w:hint="eastAsia" w:ascii="宋体" w:hAnsi="宋体" w:cs="宋体"/>
          <w:b/>
          <w:color w:val="auto"/>
          <w:kern w:val="0"/>
          <w:sz w:val="24"/>
          <w:highlight w:val="none"/>
        </w:rPr>
      </w:pPr>
      <w:r>
        <w:rPr>
          <w:rFonts w:hint="eastAsia" w:ascii="宋体" w:hAnsi="宋体" w:cs="宋体"/>
          <w:color w:val="auto"/>
          <w:sz w:val="24"/>
          <w:highlight w:val="none"/>
        </w:rPr>
        <w:t>5.2.2.</w:t>
      </w:r>
      <w:r>
        <w:rPr>
          <w:rFonts w:hint="eastAsia" w:ascii="宋体" w:hAnsi="宋体" w:cs="宋体"/>
          <w:b/>
          <w:bCs/>
          <w:color w:val="auto"/>
          <w:sz w:val="24"/>
          <w:highlight w:val="none"/>
        </w:rPr>
        <w:t>2</w:t>
      </w:r>
      <w:r>
        <w:rPr>
          <w:rFonts w:ascii="宋体" w:hAnsi="宋体" w:cs="宋体"/>
          <w:b/>
          <w:bCs/>
          <w:color w:val="auto"/>
          <w:kern w:val="0"/>
          <w:sz w:val="24"/>
          <w:highlight w:val="none"/>
        </w:rPr>
        <w:t>消防检测及安全评估</w:t>
      </w:r>
      <w:r>
        <w:rPr>
          <w:rFonts w:hint="eastAsia" w:ascii="宋体" w:hAnsi="宋体" w:cs="宋体"/>
          <w:b w:val="0"/>
          <w:bCs/>
          <w:color w:val="auto"/>
          <w:kern w:val="0"/>
          <w:sz w:val="24"/>
          <w:highlight w:val="none"/>
          <w:lang w:eastAsia="zh-CN"/>
        </w:rPr>
        <w:t>（</w:t>
      </w:r>
      <w:r>
        <w:rPr>
          <w:rFonts w:hint="eastAsia" w:ascii="宋体" w:hAnsi="宋体" w:cs="宋体"/>
          <w:b w:val="0"/>
          <w:bCs/>
          <w:color w:val="auto"/>
          <w:sz w:val="24"/>
          <w:highlight w:val="none"/>
        </w:rPr>
        <w:t>每个项</w:t>
      </w:r>
      <w:r>
        <w:rPr>
          <w:rFonts w:hint="eastAsia" w:ascii="宋体" w:hAnsi="宋体" w:cs="宋体"/>
          <w:color w:val="auto"/>
          <w:sz w:val="24"/>
          <w:highlight w:val="none"/>
        </w:rPr>
        <w:t>目均需提供官方认可的纸质报告二份）。</w:t>
      </w:r>
    </w:p>
    <w:p>
      <w:pPr>
        <w:spacing w:line="440" w:lineRule="exact"/>
        <w:ind w:firstLine="480" w:firstLineChars="200"/>
        <w:rPr>
          <w:rFonts w:hint="eastAsia" w:ascii="宋体" w:hAnsi="宋体" w:cs="宋体"/>
          <w:color w:val="auto"/>
          <w:sz w:val="24"/>
          <w:highlight w:val="none"/>
        </w:rPr>
      </w:pPr>
      <w:r>
        <w:rPr>
          <w:rFonts w:hint="eastAsia" w:ascii="宋体" w:hAnsi="宋体" w:cs="宋体"/>
          <w:b w:val="0"/>
          <w:bCs/>
          <w:color w:val="auto"/>
          <w:kern w:val="0"/>
          <w:sz w:val="24"/>
          <w:highlight w:val="none"/>
        </w:rPr>
        <w:t>5.2.2.2.1</w:t>
      </w:r>
      <w:r>
        <w:rPr>
          <w:rFonts w:hint="eastAsia" w:hAnsi="宋体"/>
          <w:color w:val="auto"/>
          <w:sz w:val="24"/>
          <w:highlight w:val="none"/>
        </w:rPr>
        <w:t>根据消防有关规定对医院安全进行整体评估。</w:t>
      </w:r>
    </w:p>
    <w:p>
      <w:pPr>
        <w:spacing w:line="44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5.2.2.2.2</w:t>
      </w:r>
      <w:r>
        <w:rPr>
          <w:rFonts w:hint="eastAsia" w:ascii="宋体" w:hAnsi="宋体" w:cs="宋体"/>
          <w:b w:val="0"/>
          <w:color w:val="auto"/>
          <w:sz w:val="24"/>
          <w:szCs w:val="24"/>
          <w:highlight w:val="none"/>
        </w:rPr>
        <w:t>消防</w:t>
      </w:r>
      <w:r>
        <w:rPr>
          <w:rFonts w:ascii="宋体" w:hAnsi="宋体" w:cs="宋体"/>
          <w:b w:val="0"/>
          <w:color w:val="auto"/>
          <w:sz w:val="24"/>
          <w:szCs w:val="24"/>
          <w:highlight w:val="none"/>
        </w:rPr>
        <w:t>设施、电</w:t>
      </w:r>
      <w:r>
        <w:rPr>
          <w:rFonts w:hint="eastAsia" w:ascii="宋体" w:hAnsi="宋体" w:cs="宋体"/>
          <w:b w:val="0"/>
          <w:color w:val="auto"/>
          <w:sz w:val="24"/>
          <w:szCs w:val="24"/>
          <w:highlight w:val="none"/>
          <w:lang w:val="en-US" w:eastAsia="zh-CN"/>
        </w:rPr>
        <w:t>气</w:t>
      </w:r>
      <w:r>
        <w:rPr>
          <w:rFonts w:hint="eastAsia" w:ascii="宋体" w:hAnsi="宋体" w:cs="宋体"/>
          <w:b w:val="0"/>
          <w:color w:val="auto"/>
          <w:sz w:val="24"/>
          <w:szCs w:val="24"/>
          <w:highlight w:val="none"/>
        </w:rPr>
        <w:t>年度检测</w:t>
      </w:r>
      <w:r>
        <w:rPr>
          <w:rFonts w:hint="eastAsia" w:ascii="宋体" w:hAnsi="宋体" w:cs="宋体"/>
          <w:color w:val="auto"/>
          <w:sz w:val="24"/>
          <w:highlight w:val="none"/>
        </w:rPr>
        <w:t xml:space="preserve">项目 </w:t>
      </w:r>
    </w:p>
    <w:p>
      <w:pPr>
        <w:spacing w:line="440" w:lineRule="exact"/>
        <w:ind w:firstLine="480" w:firstLineChars="200"/>
        <w:rPr>
          <w:rFonts w:hAnsi="宋体"/>
          <w:color w:val="auto"/>
          <w:sz w:val="24"/>
          <w:highlight w:val="none"/>
        </w:rPr>
      </w:pPr>
      <w:r>
        <w:rPr>
          <w:rFonts w:hint="eastAsia" w:ascii="宋体" w:hAnsi="宋体" w:cs="宋体"/>
          <w:color w:val="auto"/>
          <w:sz w:val="24"/>
          <w:highlight w:val="none"/>
        </w:rPr>
        <w:t>（1）</w:t>
      </w:r>
      <w:r>
        <w:rPr>
          <w:rFonts w:hint="eastAsia" w:hAnsi="宋体"/>
          <w:color w:val="auto"/>
          <w:sz w:val="24"/>
          <w:highlight w:val="none"/>
        </w:rPr>
        <w:t>单位内各建筑设置的火灾自动报警系统；</w:t>
      </w:r>
    </w:p>
    <w:p>
      <w:pPr>
        <w:pStyle w:val="6"/>
        <w:spacing w:line="360" w:lineRule="auto"/>
        <w:ind w:firstLine="480" w:firstLineChars="200"/>
        <w:rPr>
          <w:rFonts w:hAnsi="宋体"/>
          <w:color w:val="auto"/>
          <w:sz w:val="24"/>
          <w:highlight w:val="none"/>
        </w:rPr>
      </w:pPr>
      <w:r>
        <w:rPr>
          <w:rFonts w:hint="eastAsia" w:hAnsi="宋体"/>
          <w:color w:val="auto"/>
          <w:sz w:val="24"/>
          <w:highlight w:val="none"/>
        </w:rPr>
        <w:t>（2） 自动喷淋灭火系统；</w:t>
      </w:r>
    </w:p>
    <w:p>
      <w:pPr>
        <w:pStyle w:val="6"/>
        <w:spacing w:line="360" w:lineRule="auto"/>
        <w:rPr>
          <w:rFonts w:hAnsi="宋体"/>
          <w:color w:val="auto"/>
          <w:sz w:val="24"/>
          <w:highlight w:val="none"/>
        </w:rPr>
      </w:pPr>
      <w:r>
        <w:rPr>
          <w:rFonts w:hint="eastAsia" w:hAnsi="宋体"/>
          <w:color w:val="auto"/>
          <w:sz w:val="24"/>
          <w:highlight w:val="none"/>
        </w:rPr>
        <w:t xml:space="preserve">    （3） 室内外消火栓系统；</w:t>
      </w:r>
    </w:p>
    <w:p>
      <w:pPr>
        <w:pStyle w:val="6"/>
        <w:spacing w:line="360" w:lineRule="auto"/>
        <w:rPr>
          <w:rFonts w:hAnsi="宋体"/>
          <w:color w:val="auto"/>
          <w:sz w:val="24"/>
          <w:highlight w:val="none"/>
        </w:rPr>
      </w:pPr>
      <w:r>
        <w:rPr>
          <w:rFonts w:hint="eastAsia" w:hAnsi="宋体"/>
          <w:color w:val="auto"/>
          <w:sz w:val="24"/>
          <w:highlight w:val="none"/>
        </w:rPr>
        <w:t xml:space="preserve">    （4）防排烟系统；</w:t>
      </w:r>
    </w:p>
    <w:p>
      <w:pPr>
        <w:pStyle w:val="6"/>
        <w:spacing w:line="360" w:lineRule="auto"/>
        <w:rPr>
          <w:rFonts w:hAnsi="宋体"/>
          <w:color w:val="auto"/>
          <w:sz w:val="24"/>
          <w:highlight w:val="none"/>
        </w:rPr>
      </w:pPr>
      <w:r>
        <w:rPr>
          <w:rFonts w:hint="eastAsia" w:hAnsi="宋体"/>
          <w:color w:val="auto"/>
          <w:sz w:val="24"/>
          <w:highlight w:val="none"/>
        </w:rPr>
        <w:t xml:space="preserve">   （5） 气体灭火系统；</w:t>
      </w:r>
    </w:p>
    <w:p>
      <w:pPr>
        <w:pStyle w:val="6"/>
        <w:spacing w:line="360" w:lineRule="auto"/>
        <w:rPr>
          <w:rFonts w:hAnsi="宋体"/>
          <w:color w:val="auto"/>
          <w:sz w:val="24"/>
          <w:highlight w:val="none"/>
        </w:rPr>
      </w:pPr>
      <w:r>
        <w:rPr>
          <w:rFonts w:hint="eastAsia" w:hAnsi="宋体"/>
          <w:color w:val="auto"/>
          <w:sz w:val="24"/>
          <w:highlight w:val="none"/>
        </w:rPr>
        <w:t xml:space="preserve">   （6） 安全疏散防火分隔系统（防火卷帘，档烟垂壁）；</w:t>
      </w:r>
    </w:p>
    <w:p>
      <w:pPr>
        <w:pStyle w:val="6"/>
        <w:spacing w:line="360" w:lineRule="auto"/>
        <w:rPr>
          <w:rFonts w:hAnsi="宋体"/>
          <w:color w:val="auto"/>
          <w:sz w:val="24"/>
          <w:highlight w:val="none"/>
        </w:rPr>
      </w:pPr>
      <w:r>
        <w:rPr>
          <w:rFonts w:hint="eastAsia" w:hAnsi="宋体"/>
          <w:color w:val="auto"/>
          <w:sz w:val="24"/>
          <w:highlight w:val="none"/>
        </w:rPr>
        <w:t xml:space="preserve">   （7） 消防通讯及广播系统；</w:t>
      </w:r>
    </w:p>
    <w:p>
      <w:pPr>
        <w:pStyle w:val="6"/>
        <w:spacing w:line="360" w:lineRule="auto"/>
        <w:rPr>
          <w:rFonts w:hAnsi="宋体"/>
          <w:color w:val="auto"/>
          <w:sz w:val="24"/>
          <w:highlight w:val="none"/>
        </w:rPr>
      </w:pPr>
      <w:r>
        <w:rPr>
          <w:rFonts w:hint="eastAsia" w:hAnsi="宋体"/>
          <w:color w:val="auto"/>
          <w:sz w:val="24"/>
          <w:highlight w:val="none"/>
        </w:rPr>
        <w:t xml:space="preserve">   （8） 消防电梯、自备发电切换等其它消防系统的手动联动试验；</w:t>
      </w:r>
    </w:p>
    <w:p>
      <w:pPr>
        <w:pStyle w:val="6"/>
        <w:spacing w:line="360" w:lineRule="auto"/>
        <w:rPr>
          <w:rFonts w:hAnsi="宋体"/>
          <w:color w:val="auto"/>
          <w:sz w:val="24"/>
          <w:highlight w:val="none"/>
        </w:rPr>
      </w:pPr>
      <w:r>
        <w:rPr>
          <w:rFonts w:hint="eastAsia" w:hAnsi="宋体"/>
          <w:color w:val="auto"/>
          <w:sz w:val="24"/>
          <w:highlight w:val="none"/>
        </w:rPr>
        <w:t xml:space="preserve">   （9）电气防火相关设施检测；</w:t>
      </w:r>
    </w:p>
    <w:p>
      <w:pPr>
        <w:pStyle w:val="6"/>
        <w:spacing w:line="360" w:lineRule="auto"/>
        <w:rPr>
          <w:rFonts w:hAnsi="宋体"/>
          <w:color w:val="auto"/>
          <w:sz w:val="24"/>
          <w:highlight w:val="none"/>
        </w:rPr>
      </w:pPr>
      <w:r>
        <w:rPr>
          <w:rFonts w:hint="eastAsia" w:hAnsi="宋体"/>
          <w:color w:val="auto"/>
          <w:sz w:val="24"/>
          <w:highlight w:val="none"/>
        </w:rPr>
        <w:t xml:space="preserve">   （10）消防配电柜及其它相关设备；</w:t>
      </w:r>
    </w:p>
    <w:p>
      <w:pPr>
        <w:pStyle w:val="6"/>
        <w:spacing w:line="360" w:lineRule="auto"/>
        <w:rPr>
          <w:rFonts w:hint="eastAsia" w:hAnsi="宋体"/>
          <w:color w:val="auto"/>
          <w:sz w:val="24"/>
          <w:highlight w:val="none"/>
        </w:rPr>
      </w:pPr>
      <w:r>
        <w:rPr>
          <w:rFonts w:hint="eastAsia" w:hAnsi="宋体"/>
          <w:color w:val="auto"/>
          <w:sz w:val="24"/>
          <w:highlight w:val="none"/>
        </w:rPr>
        <w:t xml:space="preserve">    （11）灭火器的检测；</w:t>
      </w:r>
    </w:p>
    <w:p>
      <w:pPr>
        <w:pStyle w:val="6"/>
        <w:spacing w:line="360" w:lineRule="auto"/>
        <w:rPr>
          <w:rFonts w:hAnsi="宋体"/>
          <w:color w:val="auto"/>
          <w:sz w:val="24"/>
          <w:highlight w:val="none"/>
        </w:rPr>
      </w:pPr>
      <w:r>
        <w:rPr>
          <w:rFonts w:hint="eastAsia" w:hAnsi="宋体" w:cs="宋体"/>
          <w:color w:val="auto"/>
          <w:sz w:val="24"/>
          <w:highlight w:val="none"/>
        </w:rPr>
        <w:t xml:space="preserve">     5.2.2.2.3</w:t>
      </w:r>
      <w:r>
        <w:rPr>
          <w:rFonts w:hint="eastAsia" w:hAnsi="宋体"/>
          <w:color w:val="auto"/>
          <w:sz w:val="24"/>
          <w:highlight w:val="none"/>
        </w:rPr>
        <w:t>检测要求</w:t>
      </w:r>
    </w:p>
    <w:p>
      <w:pPr>
        <w:pStyle w:val="6"/>
        <w:spacing w:line="360" w:lineRule="auto"/>
        <w:rPr>
          <w:rFonts w:hAnsi="宋体"/>
          <w:color w:val="auto"/>
          <w:sz w:val="24"/>
          <w:highlight w:val="none"/>
        </w:rPr>
      </w:pPr>
      <w:r>
        <w:rPr>
          <w:rFonts w:hint="eastAsia" w:hAnsi="宋体"/>
          <w:color w:val="auto"/>
          <w:sz w:val="24"/>
          <w:highlight w:val="none"/>
        </w:rPr>
        <w:t xml:space="preserve">    本次检测必须符合相关规范要求进行100%检测，投标人在投标时，</w:t>
      </w:r>
      <w:r>
        <w:rPr>
          <w:rFonts w:hint="eastAsia" w:hAnsi="宋体"/>
          <w:b/>
          <w:color w:val="auto"/>
          <w:sz w:val="24"/>
          <w:highlight w:val="none"/>
        </w:rPr>
        <w:t>需附一份详细的评估及检测计划书。中标人</w:t>
      </w:r>
      <w:r>
        <w:rPr>
          <w:rFonts w:hint="eastAsia" w:hAnsi="宋体"/>
          <w:color w:val="auto"/>
          <w:sz w:val="24"/>
          <w:highlight w:val="none"/>
        </w:rPr>
        <w:t>须指定一人为项目负责人，所有现场操作人员应具有相应上岗资格并指定若干人固定为现场联系人（附上岗证）。采购人（消防控制中心工作人员）会根据中标单位的计划书全程进行监督和协调。初检完成后，检测出的问题，需由维保单位维修后，对问题再进行检测。</w:t>
      </w:r>
    </w:p>
    <w:p>
      <w:pPr>
        <w:spacing w:line="440" w:lineRule="exact"/>
        <w:ind w:firstLine="482" w:firstLineChars="200"/>
        <w:rPr>
          <w:rFonts w:hint="eastAsia" w:ascii="宋体" w:hAnsi="宋体" w:cs="宋体"/>
          <w:b/>
          <w:bCs/>
          <w:color w:val="auto"/>
          <w:sz w:val="24"/>
          <w:highlight w:val="none"/>
        </w:rPr>
      </w:pPr>
      <w:r>
        <w:rPr>
          <w:rFonts w:hint="eastAsia" w:hAnsi="宋体"/>
          <w:b/>
          <w:color w:val="auto"/>
          <w:sz w:val="24"/>
          <w:highlight w:val="none"/>
        </w:rPr>
        <w:t>以上项目，</w:t>
      </w:r>
      <w:r>
        <w:rPr>
          <w:rFonts w:hint="eastAsia" w:ascii="宋体" w:hAnsi="宋体" w:cs="宋体"/>
          <w:b/>
          <w:bCs/>
          <w:color w:val="auto"/>
          <w:sz w:val="24"/>
          <w:highlight w:val="none"/>
        </w:rPr>
        <w:t>投标单位须在投标前实地查看，未经查看视作已了解实际情况。</w:t>
      </w:r>
    </w:p>
    <w:p>
      <w:pPr>
        <w:spacing w:line="440" w:lineRule="exact"/>
        <w:ind w:firstLine="482" w:firstLineChars="200"/>
        <w:rPr>
          <w:rFonts w:hint="eastAsia" w:ascii="宋体" w:hAnsi="宋体" w:cs="宋体"/>
          <w:b/>
          <w:bCs/>
          <w:color w:val="auto"/>
          <w:sz w:val="24"/>
          <w:highlight w:val="none"/>
        </w:rPr>
      </w:pPr>
      <w:r>
        <w:rPr>
          <w:rFonts w:hint="eastAsia" w:ascii="宋体" w:hAnsi="宋体" w:cs="宋体"/>
          <w:b/>
          <w:bCs/>
          <w:color w:val="auto"/>
          <w:sz w:val="24"/>
          <w:highlight w:val="none"/>
        </w:rPr>
        <w:t>5.2.3技术要求</w:t>
      </w:r>
    </w:p>
    <w:p>
      <w:pPr>
        <w:spacing w:line="44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5.2.3.1中标人应提供给采购人整个消防报警、火灾联动等系统工程能正常运行，全部设施均达到良好要求的技术服务。一旦系统发生故障，中标人应在接到采购人通知后60分钟内派人修理，如有特殊情况不能及时进行修理的，需征得采购人同意。</w:t>
      </w:r>
    </w:p>
    <w:p>
      <w:pPr>
        <w:spacing w:line="44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w:t>
      </w:r>
      <w:r>
        <w:rPr>
          <w:rFonts w:hint="eastAsia" w:ascii="宋体" w:hAnsi="宋体" w:cs="宋体"/>
          <w:b/>
          <w:bCs/>
          <w:color w:val="auto"/>
          <w:sz w:val="24"/>
          <w:highlight w:val="none"/>
        </w:rPr>
        <w:t>需派遣壹名中级技术员常驻采购人单位</w:t>
      </w:r>
      <w:r>
        <w:rPr>
          <w:rFonts w:hint="eastAsia" w:ascii="宋体" w:hAnsi="宋体" w:cs="宋体"/>
          <w:color w:val="auto"/>
          <w:sz w:val="24"/>
          <w:highlight w:val="none"/>
        </w:rPr>
        <w:t>（1周5个工作日，提供</w:t>
      </w:r>
      <w:r>
        <w:rPr>
          <w:rFonts w:hint="eastAsia" w:ascii="宋体" w:hAnsi="宋体" w:cs="宋体"/>
          <w:color w:val="auto"/>
          <w:sz w:val="24"/>
          <w:highlight w:val="none"/>
        </w:rPr>
        <w:t>消防设施操作员职业资格证书</w:t>
      </w:r>
      <w:r>
        <w:rPr>
          <w:rFonts w:hint="eastAsia" w:ascii="宋体" w:hAnsi="宋体" w:cs="宋体"/>
          <w:color w:val="auto"/>
          <w:sz w:val="24"/>
          <w:highlight w:val="none"/>
        </w:rPr>
        <w:t>），对采购人消防报警系统进行巡检、维护，发现问题及时维修（采购人派出工作人员全程监督），并书面将巡检、维护记录递交给采购人签字</w:t>
      </w:r>
      <w:r>
        <w:rPr>
          <w:rFonts w:hint="eastAsia" w:ascii="宋体" w:hAnsi="宋体" w:cs="宋体"/>
          <w:color w:val="auto"/>
          <w:sz w:val="24"/>
          <w:highlight w:val="none"/>
          <w:lang w:val="en-US" w:eastAsia="zh-CN"/>
        </w:rPr>
        <w:t>确认</w:t>
      </w:r>
      <w:r>
        <w:rPr>
          <w:rFonts w:hint="eastAsia" w:ascii="宋体" w:hAnsi="宋体" w:cs="宋体"/>
          <w:color w:val="auto"/>
          <w:sz w:val="24"/>
          <w:highlight w:val="none"/>
        </w:rPr>
        <w:t>，</w:t>
      </w:r>
      <w:r>
        <w:rPr>
          <w:rFonts w:hint="eastAsia" w:ascii="宋体" w:hAnsi="宋体" w:cs="宋体"/>
          <w:color w:val="auto"/>
          <w:sz w:val="24"/>
          <w:highlight w:val="none"/>
        </w:rPr>
        <w:t>以便于采购人对中标人的工作质量进行监督</w:t>
      </w:r>
      <w:r>
        <w:rPr>
          <w:rFonts w:hint="eastAsia" w:ascii="宋体" w:hAnsi="宋体" w:cs="宋体"/>
          <w:color w:val="auto"/>
          <w:sz w:val="24"/>
          <w:highlight w:val="none"/>
        </w:rPr>
        <w:t>。配合采购人进行上级专项安全检查。</w:t>
      </w:r>
    </w:p>
    <w:p>
      <w:pPr>
        <w:spacing w:line="44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3、中标人根据维护要求制定方案，定期进行月检，保证采购人设施正常运行（投标时需提交该方案）。</w:t>
      </w:r>
      <w:r>
        <w:rPr>
          <w:rFonts w:hint="eastAsia" w:ascii="宋体" w:hAnsi="宋体" w:cs="宋体"/>
          <w:color w:val="auto"/>
          <w:sz w:val="24"/>
          <w:highlight w:val="none"/>
        </w:rPr>
        <w:t>每次中标人完成维护保养和检测工作后，应向采购人提交符合公安消防部门要求的登记表格，由采购人存档</w:t>
      </w:r>
      <w:r>
        <w:rPr>
          <w:rFonts w:hint="eastAsia" w:ascii="宋体" w:hAnsi="宋体" w:cs="宋体"/>
          <w:color w:val="auto"/>
          <w:sz w:val="24"/>
          <w:highlight w:val="none"/>
        </w:rPr>
        <w:t>。</w:t>
      </w:r>
    </w:p>
    <w:p>
      <w:pPr>
        <w:spacing w:line="44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4、中标人每季度派工程师对采购人消防控制室值班人员进行相关知识（消防设施操作）培训。</w:t>
      </w:r>
    </w:p>
    <w:p>
      <w:pPr>
        <w:spacing w:line="44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5、</w:t>
      </w:r>
      <w:bookmarkStart w:id="0" w:name="OLE_LINK1"/>
      <w:r>
        <w:rPr>
          <w:rFonts w:hint="eastAsia" w:ascii="宋体" w:hAnsi="宋体" w:cs="宋体"/>
          <w:color w:val="auto"/>
          <w:sz w:val="24"/>
          <w:highlight w:val="none"/>
        </w:rPr>
        <w:t>在维保期内，若采购人因设施维保事项通知中标人到现场，中标人两次不按时到达现场处理的，视为违约，每次从维保费用中扣除1000元，由此造成的损失由中标人负责</w:t>
      </w:r>
      <w:bookmarkEnd w:id="0"/>
      <w:r>
        <w:rPr>
          <w:rFonts w:hint="eastAsia" w:ascii="宋体" w:hAnsi="宋体" w:cs="宋体"/>
          <w:color w:val="auto"/>
          <w:sz w:val="24"/>
          <w:highlight w:val="none"/>
        </w:rPr>
        <w:t>。　</w:t>
      </w:r>
    </w:p>
    <w:p>
      <w:pPr>
        <w:spacing w:line="44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 xml:space="preserve"> 6、采购人需小范围拆、装、移该系统的某些部位时，中标人负责管线安装和拆除工作（材料费用由采购人负责），并做好书面记录交采购人。</w:t>
      </w:r>
    </w:p>
    <w:p>
      <w:pPr>
        <w:spacing w:line="44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7、在协议期内发现设施损坏，中标人应尽力修复，必要时及时更换设施设备以保证系统的安全正常运转。</w:t>
      </w:r>
    </w:p>
    <w:p>
      <w:pPr>
        <w:spacing w:line="44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8、在发生火灾时，由于消防各系统及内容款项中的设施或线路不能正常工作，中标人应承担相应责任。</w:t>
      </w:r>
    </w:p>
    <w:p>
      <w:pPr>
        <w:spacing w:line="44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9、根据消防主管部门每一年一次的消防报警设施等的年检要求，采购人在消防设施年检期间，</w:t>
      </w:r>
      <w:bookmarkStart w:id="1" w:name="_GoBack"/>
      <w:bookmarkEnd w:id="1"/>
      <w:r>
        <w:rPr>
          <w:rFonts w:hint="eastAsia" w:ascii="宋体" w:hAnsi="宋体" w:cs="宋体"/>
          <w:color w:val="auto"/>
          <w:sz w:val="24"/>
          <w:highlight w:val="none"/>
        </w:rPr>
        <w:t>由中标人配合采购人或第三方检测公司共同完成，并保证获得合格检测报告提交采购人，费用由中标人负责。检测公司检测出来的内容由中标人负责修复（材料费用由采购人负责）。</w:t>
      </w:r>
    </w:p>
    <w:p>
      <w:pPr>
        <w:spacing w:line="44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10、更换的维保材料必须满足国家法律法规的强制要求。</w:t>
      </w:r>
    </w:p>
    <w:p>
      <w:pPr>
        <w:spacing w:line="440" w:lineRule="exact"/>
        <w:ind w:firstLine="480" w:firstLineChars="200"/>
        <w:rPr>
          <w:rFonts w:hint="eastAsia" w:ascii="宋体" w:hAnsi="宋体" w:cs="宋体"/>
          <w:b w:val="0"/>
          <w:bCs w:val="0"/>
          <w:color w:val="auto"/>
          <w:sz w:val="24"/>
          <w:highlight w:val="none"/>
        </w:rPr>
      </w:pPr>
      <w:r>
        <w:rPr>
          <w:rFonts w:hint="eastAsia" w:ascii="宋体" w:hAnsi="宋体" w:cs="宋体"/>
          <w:color w:val="auto"/>
          <w:sz w:val="24"/>
          <w:highlight w:val="none"/>
        </w:rPr>
        <w:t>11、主要维修材料在100元以下的由中标人免费提供，100元及以上的可由中标人</w:t>
      </w:r>
      <w:r>
        <w:rPr>
          <w:rFonts w:hint="eastAsia" w:ascii="宋体" w:hAnsi="宋体" w:cs="宋体"/>
          <w:b w:val="0"/>
          <w:bCs w:val="0"/>
          <w:color w:val="auto"/>
          <w:sz w:val="24"/>
          <w:highlight w:val="none"/>
        </w:rPr>
        <w:t>采购、费用由采购人支付，配件价格参考技术标的附件。未列入附件清单的维修材料，由采购人负责采购。</w:t>
      </w:r>
    </w:p>
    <w:p>
      <w:pPr>
        <w:spacing w:line="440" w:lineRule="exact"/>
        <w:ind w:firstLine="480" w:firstLineChars="200"/>
        <w:rPr>
          <w:rFonts w:hint="eastAsia" w:ascii="宋体" w:hAnsi="宋体" w:eastAsia="宋体" w:cs="宋体"/>
          <w:color w:val="auto"/>
          <w:sz w:val="24"/>
          <w:szCs w:val="24"/>
          <w:highlight w:val="none"/>
          <w:lang w:eastAsia="zh-CN"/>
        </w:rPr>
      </w:pPr>
      <w:r>
        <w:rPr>
          <w:rFonts w:ascii="宋体" w:hAnsi="宋体" w:cs="宋体"/>
          <w:b w:val="0"/>
          <w:bCs w:val="0"/>
          <w:color w:val="auto"/>
          <w:sz w:val="24"/>
          <w:szCs w:val="24"/>
          <w:highlight w:val="none"/>
        </w:rPr>
        <w:t>12</w:t>
      </w:r>
      <w:r>
        <w:rPr>
          <w:rFonts w:hint="eastAsia" w:ascii="宋体" w:hAnsi="宋体" w:cs="宋体"/>
          <w:b w:val="0"/>
          <w:bCs w:val="0"/>
          <w:color w:val="auto"/>
          <w:sz w:val="24"/>
          <w:szCs w:val="24"/>
          <w:highlight w:val="none"/>
        </w:rPr>
        <w:t>、安全评估及消防设</w:t>
      </w:r>
      <w:r>
        <w:rPr>
          <w:rFonts w:hint="eastAsia" w:ascii="宋体" w:hAnsi="宋体" w:cs="宋体"/>
          <w:color w:val="auto"/>
          <w:sz w:val="24"/>
          <w:szCs w:val="24"/>
          <w:highlight w:val="none"/>
        </w:rPr>
        <w:t>施、电器年度检测，由</w:t>
      </w:r>
      <w:r>
        <w:rPr>
          <w:rFonts w:hint="eastAsia" w:ascii="宋体" w:hAnsi="宋体" w:cs="宋体"/>
          <w:color w:val="auto"/>
          <w:sz w:val="24"/>
          <w:highlight w:val="none"/>
        </w:rPr>
        <w:t>具有</w:t>
      </w:r>
      <w:r>
        <w:rPr>
          <w:rFonts w:hint="eastAsia" w:ascii="宋体" w:hAnsi="宋体" w:cs="宋体"/>
          <w:color w:val="auto"/>
          <w:sz w:val="24"/>
          <w:szCs w:val="24"/>
          <w:highlight w:val="none"/>
        </w:rPr>
        <w:t>资质的第三方评估检测公司完成（</w:t>
      </w:r>
      <w:r>
        <w:rPr>
          <w:rFonts w:hint="eastAsia" w:ascii="宋体" w:hAnsi="宋体" w:cs="宋体"/>
          <w:color w:val="auto"/>
          <w:sz w:val="24"/>
          <w:highlight w:val="none"/>
        </w:rPr>
        <w:t>中标人</w:t>
      </w:r>
      <w:r>
        <w:rPr>
          <w:rFonts w:hint="eastAsia" w:ascii="宋体" w:hAnsi="宋体" w:cs="宋体"/>
          <w:color w:val="auto"/>
          <w:sz w:val="24"/>
          <w:szCs w:val="24"/>
          <w:highlight w:val="none"/>
        </w:rPr>
        <w:t>提供的第三方评估需经</w:t>
      </w:r>
      <w:r>
        <w:rPr>
          <w:rFonts w:hint="eastAsia" w:ascii="宋体" w:hAnsi="宋体" w:cs="宋体"/>
          <w:color w:val="auto"/>
          <w:sz w:val="24"/>
          <w:highlight w:val="none"/>
        </w:rPr>
        <w:t>采购人</w:t>
      </w:r>
      <w:r>
        <w:rPr>
          <w:rFonts w:hint="eastAsia" w:ascii="宋体" w:hAnsi="宋体" w:cs="宋体"/>
          <w:color w:val="auto"/>
          <w:sz w:val="24"/>
          <w:szCs w:val="24"/>
          <w:highlight w:val="none"/>
        </w:rPr>
        <w:t>认可，如</w:t>
      </w:r>
      <w:r>
        <w:rPr>
          <w:rFonts w:hint="eastAsia" w:ascii="宋体" w:hAnsi="宋体" w:cs="宋体"/>
          <w:color w:val="auto"/>
          <w:sz w:val="24"/>
          <w:highlight w:val="none"/>
        </w:rPr>
        <w:t>采购人</w:t>
      </w:r>
      <w:r>
        <w:rPr>
          <w:rFonts w:hint="eastAsia" w:ascii="宋体" w:hAnsi="宋体" w:cs="宋体"/>
          <w:color w:val="auto"/>
          <w:sz w:val="24"/>
          <w:szCs w:val="24"/>
          <w:highlight w:val="none"/>
        </w:rPr>
        <w:t>不认可，</w:t>
      </w:r>
      <w:r>
        <w:rPr>
          <w:rFonts w:hint="eastAsia" w:ascii="宋体" w:hAnsi="宋体" w:cs="宋体"/>
          <w:color w:val="auto"/>
          <w:sz w:val="24"/>
          <w:highlight w:val="none"/>
        </w:rPr>
        <w:t>采购人</w:t>
      </w:r>
      <w:r>
        <w:rPr>
          <w:rFonts w:hint="eastAsia" w:ascii="宋体" w:hAnsi="宋体" w:cs="宋体"/>
          <w:color w:val="auto"/>
          <w:sz w:val="24"/>
          <w:szCs w:val="24"/>
          <w:highlight w:val="none"/>
        </w:rPr>
        <w:t>有权让其它有资质的公司来完成），检测费用由</w:t>
      </w:r>
      <w:r>
        <w:rPr>
          <w:rFonts w:hint="eastAsia" w:ascii="宋体" w:hAnsi="宋体" w:cs="宋体"/>
          <w:color w:val="auto"/>
          <w:sz w:val="24"/>
          <w:highlight w:val="none"/>
        </w:rPr>
        <w:t>中标人</w:t>
      </w:r>
      <w:r>
        <w:rPr>
          <w:rFonts w:hint="eastAsia" w:ascii="宋体" w:hAnsi="宋体" w:cs="宋体"/>
          <w:color w:val="auto"/>
          <w:sz w:val="24"/>
          <w:szCs w:val="24"/>
          <w:highlight w:val="none"/>
        </w:rPr>
        <w:t>负责</w:t>
      </w:r>
      <w:r>
        <w:rPr>
          <w:rFonts w:hint="eastAsia" w:ascii="宋体" w:hAnsi="宋体" w:cs="宋体"/>
          <w:color w:val="auto"/>
          <w:sz w:val="24"/>
          <w:szCs w:val="24"/>
          <w:highlight w:val="none"/>
          <w:lang w:eastAsia="zh-CN"/>
        </w:rPr>
        <w:t>。</w:t>
      </w:r>
    </w:p>
    <w:p>
      <w:pPr>
        <w:spacing w:line="440" w:lineRule="exact"/>
        <w:ind w:firstLine="480" w:firstLineChars="200"/>
        <w:rPr>
          <w:rFonts w:hint="eastAsia" w:ascii="宋体" w:hAnsi="宋体" w:eastAsia="宋体" w:cs="宋体"/>
          <w:b w:val="0"/>
          <w:bCs w:val="0"/>
          <w:color w:val="auto"/>
          <w:sz w:val="24"/>
          <w:highlight w:val="none"/>
          <w:lang w:val="en-US" w:eastAsia="zh-CN"/>
        </w:rPr>
      </w:pPr>
      <w:r>
        <w:rPr>
          <w:rFonts w:hint="eastAsia" w:ascii="宋体" w:hAnsi="宋体" w:cs="宋体"/>
          <w:color w:val="auto"/>
          <w:sz w:val="24"/>
          <w:highlight w:val="none"/>
          <w:lang w:val="en-US" w:eastAsia="zh-CN"/>
        </w:rPr>
        <w:t>1</w:t>
      </w:r>
      <w:r>
        <w:rPr>
          <w:rFonts w:hint="eastAsia" w:ascii="宋体" w:hAnsi="宋体" w:eastAsia="宋体" w:cs="宋体"/>
          <w:b w:val="0"/>
          <w:bCs w:val="0"/>
          <w:color w:val="auto"/>
          <w:sz w:val="24"/>
          <w:highlight w:val="none"/>
          <w:lang w:val="en-US" w:eastAsia="zh-CN"/>
        </w:rPr>
        <w:t>3.消防栓，喷淋等消防设施穿墙移位，要改墙、穿墙，需要动墙需要中标人负责。</w:t>
      </w:r>
    </w:p>
    <w:p>
      <w:pPr>
        <w:spacing w:line="440" w:lineRule="exact"/>
        <w:ind w:firstLine="480" w:firstLineChars="200"/>
        <w:rPr>
          <w:rFonts w:hint="eastAsia" w:ascii="宋体" w:hAnsi="宋体" w:eastAsia="宋体" w:cs="宋体"/>
          <w:sz w:val="28"/>
          <w:szCs w:val="28"/>
          <w:highlight w:val="none"/>
        </w:rPr>
      </w:pPr>
      <w:r>
        <w:rPr>
          <w:rFonts w:hint="eastAsia" w:ascii="宋体" w:hAnsi="宋体" w:eastAsia="宋体" w:cs="宋体"/>
          <w:b w:val="0"/>
          <w:bCs w:val="0"/>
          <w:color w:val="auto"/>
          <w:sz w:val="24"/>
          <w:highlight w:val="none"/>
          <w:lang w:val="en-US" w:eastAsia="zh-CN"/>
        </w:rPr>
        <w:t>14.因消防产品特殊性，单一性，供应商必须在签订合同时提供原厂授权书，否则可视为中标无效，并承担一切责任。</w:t>
      </w:r>
    </w:p>
    <w:p>
      <w:pPr>
        <w:rPr>
          <w:highlight w:val="none"/>
        </w:rPr>
      </w:pPr>
    </w:p>
    <w:p>
      <w:pPr>
        <w:pStyle w:val="2"/>
        <w:ind w:left="0" w:leftChars="0" w:firstLine="0" w:firstLineChars="0"/>
        <w:rPr>
          <w:highlight w:val="none"/>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swiss"/>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57D4C7B"/>
    <w:rsid w:val="33F173C4"/>
    <w:rsid w:val="4BE61512"/>
    <w:rsid w:val="51DF338E"/>
    <w:rsid w:val="6E5D3D6D"/>
    <w:rsid w:val="7C2649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adjustRightInd w:val="0"/>
      <w:jc w:val="both"/>
    </w:pPr>
    <w:rPr>
      <w:rFonts w:ascii="Times New Roman" w:hAnsi="Times New Roman" w:eastAsia="宋体" w:cs="Times New Roman"/>
      <w:kern w:val="2"/>
      <w:sz w:val="21"/>
      <w:szCs w:val="24"/>
      <w:lang w:val="en-US" w:eastAsia="zh-CN" w:bidi="ar-SA"/>
    </w:rPr>
  </w:style>
  <w:style w:type="character" w:default="1" w:styleId="11">
    <w:name w:val="Default Paragraph Font"/>
    <w:semiHidden/>
    <w:qFormat/>
    <w:uiPriority w:val="0"/>
  </w:style>
  <w:style w:type="table" w:default="1" w:styleId="10">
    <w:name w:val="Normal Table"/>
    <w:semiHidden/>
    <w:uiPriority w:val="0"/>
    <w:tblPr>
      <w:tblCellMar>
        <w:top w:w="0" w:type="dxa"/>
        <w:left w:w="108" w:type="dxa"/>
        <w:bottom w:w="0" w:type="dxa"/>
        <w:right w:w="108" w:type="dxa"/>
      </w:tblCellMar>
    </w:tblPr>
  </w:style>
  <w:style w:type="paragraph" w:styleId="2">
    <w:name w:val="Body Text Indent"/>
    <w:basedOn w:val="1"/>
    <w:next w:val="3"/>
    <w:qFormat/>
    <w:uiPriority w:val="0"/>
    <w:pPr>
      <w:spacing w:line="480" w:lineRule="exact"/>
      <w:ind w:firstLine="480" w:firstLineChars="200"/>
    </w:pPr>
    <w:rPr>
      <w:rFonts w:ascii="宋体" w:hAnsi="宋体"/>
      <w:sz w:val="24"/>
    </w:rPr>
  </w:style>
  <w:style w:type="paragraph" w:styleId="3">
    <w:name w:val="envelope return"/>
    <w:basedOn w:val="1"/>
    <w:qFormat/>
    <w:uiPriority w:val="0"/>
    <w:pPr>
      <w:snapToGrid w:val="0"/>
    </w:pPr>
    <w:rPr>
      <w:rFonts w:ascii="Arial" w:hAnsi="Arial"/>
    </w:rPr>
  </w:style>
  <w:style w:type="paragraph" w:styleId="4">
    <w:name w:val="annotation text"/>
    <w:basedOn w:val="1"/>
    <w:qFormat/>
    <w:uiPriority w:val="0"/>
    <w:pPr>
      <w:jc w:val="left"/>
    </w:pPr>
  </w:style>
  <w:style w:type="paragraph" w:styleId="5">
    <w:name w:val="Body Text"/>
    <w:basedOn w:val="1"/>
    <w:qFormat/>
    <w:uiPriority w:val="0"/>
    <w:pPr>
      <w:autoSpaceDE w:val="0"/>
      <w:autoSpaceDN w:val="0"/>
      <w:adjustRightInd w:val="0"/>
      <w:spacing w:line="360" w:lineRule="auto"/>
    </w:pPr>
    <w:rPr>
      <w:rFonts w:ascii="宋体" w:hAnsi="Arial" w:cs="Arial"/>
      <w:snapToGrid w:val="0"/>
      <w:sz w:val="24"/>
      <w:szCs w:val="21"/>
      <w:lang w:val="zh-CN"/>
    </w:rPr>
  </w:style>
  <w:style w:type="paragraph" w:styleId="6">
    <w:name w:val="Plain Text"/>
    <w:basedOn w:val="1"/>
    <w:qFormat/>
    <w:uiPriority w:val="0"/>
    <w:pPr>
      <w:widowControl/>
      <w:overflowPunct w:val="0"/>
      <w:autoSpaceDE w:val="0"/>
      <w:autoSpaceDN w:val="0"/>
      <w:adjustRightInd w:val="0"/>
      <w:jc w:val="left"/>
      <w:textAlignment w:val="baseline"/>
    </w:pPr>
    <w:rPr>
      <w:rFonts w:ascii="宋体" w:hAnsi="Courier New"/>
      <w:kern w:val="0"/>
      <w:szCs w:val="21"/>
    </w:rPr>
  </w:style>
  <w:style w:type="paragraph" w:styleId="7">
    <w:name w:val="Title"/>
    <w:basedOn w:val="1"/>
    <w:next w:val="1"/>
    <w:qFormat/>
    <w:uiPriority w:val="0"/>
    <w:pPr>
      <w:widowControl/>
      <w:overflowPunct w:val="0"/>
      <w:autoSpaceDE w:val="0"/>
      <w:autoSpaceDN w:val="0"/>
      <w:adjustRightInd w:val="0"/>
      <w:jc w:val="center"/>
      <w:textAlignment w:val="baseline"/>
    </w:pPr>
    <w:rPr>
      <w:b/>
      <w:kern w:val="0"/>
      <w:sz w:val="24"/>
      <w:szCs w:val="20"/>
      <w:lang w:val="en-GB"/>
    </w:rPr>
  </w:style>
  <w:style w:type="paragraph" w:styleId="8">
    <w:name w:val="Body Text First Indent"/>
    <w:basedOn w:val="5"/>
    <w:next w:val="1"/>
    <w:qFormat/>
    <w:uiPriority w:val="0"/>
    <w:pPr>
      <w:ind w:firstLine="420"/>
    </w:pPr>
    <w:rPr>
      <w:rFonts w:hAnsi="Times New Roman" w:cs="Times New Roman"/>
      <w:snapToGrid/>
      <w:szCs w:val="20"/>
    </w:rPr>
  </w:style>
  <w:style w:type="paragraph" w:styleId="9">
    <w:name w:val="Body Text First Indent 2"/>
    <w:basedOn w:val="2"/>
    <w:next w:val="8"/>
    <w:qFormat/>
    <w:uiPriority w:val="0"/>
    <w:pPr>
      <w:adjustRightInd/>
      <w:spacing w:after="120" w:afterLines="0" w:line="240" w:lineRule="auto"/>
      <w:ind w:left="420" w:leftChars="200" w:firstLine="210"/>
    </w:pPr>
    <w:rPr>
      <w:sz w:val="21"/>
    </w:rPr>
  </w:style>
  <w:style w:type="paragraph" w:customStyle="1" w:styleId="12">
    <w:name w:val="首行缩进"/>
    <w:basedOn w:val="1"/>
    <w:next w:val="5"/>
    <w:qFormat/>
    <w:uiPriority w:val="0"/>
    <w:pPr>
      <w:spacing w:line="360" w:lineRule="auto"/>
      <w:ind w:firstLine="480" w:firstLineChars="200"/>
    </w:pPr>
    <w:rPr>
      <w:rFonts w:ascii="宋体"/>
      <w:sz w:val="24"/>
      <w:szCs w:val="20"/>
    </w:rPr>
  </w:style>
  <w:style w:type="paragraph" w:customStyle="1" w:styleId="13">
    <w:name w:val="列出段落1"/>
    <w:basedOn w:val="1"/>
    <w:next w:val="1"/>
    <w:qFormat/>
    <w:uiPriority w:val="34"/>
    <w:pPr>
      <w:adjustRightInd/>
      <w:spacing w:line="360" w:lineRule="auto"/>
      <w:ind w:firstLine="420" w:firstLineChars="200"/>
    </w:pPr>
    <w:rPr>
      <w:rFonts w:ascii="Calibri" w:hAnsi="Calibri"/>
      <w:sz w:val="24"/>
      <w:szCs w:val="22"/>
    </w:rPr>
  </w:style>
  <w:style w:type="paragraph" w:customStyle="1" w:styleId="14">
    <w:name w:val="Table Text"/>
    <w:basedOn w:val="1"/>
    <w:qFormat/>
    <w:uiPriority w:val="0"/>
    <w:pPr>
      <w:widowControl/>
      <w:spacing w:before="60" w:after="60"/>
      <w:jc w:val="left"/>
    </w:pPr>
    <w:rPr>
      <w:kern w:val="0"/>
      <w:sz w:val="24"/>
    </w:rPr>
  </w:style>
  <w:style w:type="table" w:customStyle="1" w:styleId="15">
    <w:name w:val="Table Normal"/>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4035</Words>
  <Characters>4829</Characters>
  <Lines>0</Lines>
  <Paragraphs>0</Paragraphs>
  <TotalTime>1</TotalTime>
  <ScaleCrop>false</ScaleCrop>
  <LinksUpToDate>false</LinksUpToDate>
  <CharactersWithSpaces>4852</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2025-10-28T03:58:00Z</dcterms:created>
  <dc:creator>Administrator</dc:creator>
  <cp:lastModifiedBy>石文龙</cp:lastModifiedBy>
  <dcterms:modified xsi:type="dcterms:W3CDTF">2026-05-22T00:38:29Z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KSOTemplateDocerSaveRecord">
    <vt:lpwstr>eyJoZGlkIjoiYWFjNTE3NjhkOWQ4OTgwNDA5ZGViNWM3MmJiMGVkNzUiLCJ1c2VySWQiOiIzMDcxODQ2MTcifQ==</vt:lpwstr>
  </property>
  <property fmtid="{D5CDD505-2E9C-101B-9397-08002B2CF9AE}" pid="4" name="ICV">
    <vt:lpwstr>2DA602CC2B754AD2BE603BE89732ACDA_12</vt:lpwstr>
  </property>
</Properties>
</file>