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2700"/>
        <w:gridCol w:w="1340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00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体检管理系统</w:t>
            </w: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扩充升级</w:t>
            </w:r>
          </w:p>
        </w:tc>
        <w:tc>
          <w:tcPr>
            <w:tcW w:w="1340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2921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57万元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5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体检管理系统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先后升级导诊系统等，共计77万。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5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面对近几年提出的现代化医院建设、智慧医院建设及新版等级医院评审要求，加上我院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院区的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即将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投入运营，都对</w:t>
            </w: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zh-CN" w:eastAsia="zh-CN" w:bidi="ar-SA"/>
              </w:rPr>
              <w:t>体检管理系统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提出了更高的要求，现有系统的管理模式已经无法满足，主要问题及将会产生的风险如下：</w:t>
            </w:r>
          </w:p>
          <w:p>
            <w:pPr>
              <w:pStyle w:val="15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、考核标准，多院区数据统一标准共享，加强闭环建设，实现全流程数据可追溯管理，推动多院区一体化发展。与院内已有信息平台联动，实现两区平台交互信息流转，保障跨院区管理的统一、完整性。</w:t>
            </w:r>
          </w:p>
          <w:p>
            <w:pPr>
              <w:pStyle w:val="15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扩充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升级目标：</w:t>
            </w:r>
          </w:p>
          <w:p>
            <w:pPr>
              <w:pStyle w:val="15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1、体检系统实现一院二区改造， 支持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延安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院区、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兰亭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院区各分支机构管理功能，分院体检中心、干部保健中心等机构可以同时使用系统，做到数据统一存储，操作者、体检客户从始至终记录操作机构，方便整合数据或单部门数据统计；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体检管理系统需升级区分院区的版本8.0、需新采购职业病版本8.0；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网上预约兰亭、延安院区公众号用同一个，项目选择页内选择对应院区；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导检系统一套；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硬件：自助报到机3台（需求可刷脸、可刷身份证电子凭证）；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设备接口：7、8个（C13、C14、骨密度、血压、人体成分）；</w:t>
            </w:r>
          </w:p>
          <w:p>
            <w:pPr>
              <w:pStyle w:val="15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加两年的延安路维护费8万元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。</w:t>
            </w:r>
          </w:p>
          <w:p>
            <w:pPr>
              <w:pStyle w:val="15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</w:pP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58603"/>
    <w:multiLevelType w:val="singleLevel"/>
    <w:tmpl w:val="C245860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143B3FA6"/>
    <w:rsid w:val="201E2085"/>
    <w:rsid w:val="30A716C1"/>
    <w:rsid w:val="33632DF3"/>
    <w:rsid w:val="3CD5701C"/>
    <w:rsid w:val="3DBF1EC9"/>
    <w:rsid w:val="5D1041BB"/>
    <w:rsid w:val="5EE1487A"/>
    <w:rsid w:val="6592160E"/>
    <w:rsid w:val="697D4817"/>
    <w:rsid w:val="6C104EA5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Plain Text"/>
    <w:basedOn w:val="1"/>
    <w:next w:val="9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customStyle="1" w:styleId="9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