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2700"/>
        <w:gridCol w:w="134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00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营养膳食管理系统（病人点餐系统）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FF"/>
                <w:kern w:val="28"/>
                <w:sz w:val="21"/>
                <w:szCs w:val="20"/>
                <w:vertAlign w:val="baseline"/>
                <w:lang w:val="zh-CN" w:eastAsia="zh-CN" w:bidi="ar-SA"/>
              </w:rPr>
              <w:t>扩充升级</w:t>
            </w:r>
          </w:p>
        </w:tc>
        <w:tc>
          <w:tcPr>
            <w:tcW w:w="1340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2921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2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我院于20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22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营养膳食管理系统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，共计投入30万。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营养餐订餐以患者医嘱为中心，对不同类型病人的疾病情况及不同体质进行分析，为患者每日所需要的营养、饮食禁忌、过敏情况、饮食医嘱等进行配比和过滤，提供科学的治疗饮食方案。系统会提供多种渠道终端进行营养订餐：微信扫码订餐、PDA订餐、支付宝服务号订餐等，以满足不同年龄段患者的订餐需要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设置架构及模式当初设计时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仅考虑满足了当时的规划设计及管理要求，且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只考虑了单体医院的管理要求。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面对近几年提出的现代化医院建设、电子病历、智慧服务、智慧管理“三位一体”的智慧医院建设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医院信息标准化建设及新版等级医院评审要求，加上我院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兰亭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即将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投入运营，都对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营养膳食管理系统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提出了更高的要求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为单体医院的管理模式架构设计，不满足两院区应用，需要对数据库及应用架构进行升级改造，以适用多院区一体化管理要求；在本次多院区一套信息化建设过程中，需要根据实际开展业务灵活调整功能模块，构建统一的规则，多院区数据统一标准共享，推动多院区一体化发展。</w:t>
            </w:r>
          </w:p>
          <w:p>
            <w:pPr>
              <w:pStyle w:val="17"/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扩充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升级目标：兰亭院区和延安路院区共用一套数据库，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营养膳食管理系统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按照多院区模式进行改造。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营养膳食管理系统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需要进行底层代码组织改造，区分两个院区的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基础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数据，业务数据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银行账户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。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包括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两年的维护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费。</w:t>
            </w:r>
          </w:p>
          <w:p>
            <w:pPr>
              <w:pStyle w:val="17"/>
              <w:ind w:firstLine="420" w:firstLineChars="2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</w:rPr>
              <w:t>①分院患者可便捷使用微信和支付宝订餐</w:t>
            </w:r>
          </w:p>
          <w:p>
            <w:pPr>
              <w:ind w:firstLine="48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患者通过微信或支付宝扫取床头二维码订取今日或明日餐品，程序自动读取患者信息和床号信息，根据患者饮食医嘱和过敏源信息实现餐品自动过滤，为患者提供科学的营养餐。</w:t>
            </w:r>
          </w:p>
          <w:p>
            <w:pPr>
              <w:ind w:firstLine="48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</w:rPr>
              <w:t>②分院老年患者可在食堂帮助下使用P</w:t>
            </w:r>
            <w:r>
              <w:rPr>
                <w:rFonts w:ascii="宋体" w:hAnsi="宋体" w:eastAsia="宋体"/>
              </w:rPr>
              <w:t>DA</w:t>
            </w:r>
            <w:r>
              <w:rPr>
                <w:rFonts w:hint="eastAsia" w:ascii="宋体" w:hAnsi="宋体" w:eastAsia="宋体"/>
              </w:rPr>
              <w:t>订餐</w:t>
            </w:r>
          </w:p>
          <w:p>
            <w:pPr>
              <w:adjustRightInd w:val="0"/>
              <w:snapToGrid w:val="0"/>
              <w:ind w:firstLine="48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针对老年患者订餐问题，食堂工作人员可手持PDA在病房为患者扫码或刷卡订餐，通过PDA订餐产生的费用支持刷卡支付、HIS支付、微信支付和患者账户支付。患者入院后，系统会自动为患者创建账户，患者可自行充值或窗口充值。患者办理出院后，患者账户中的余额会自动退回充值账户。</w:t>
            </w:r>
          </w:p>
          <w:p>
            <w:pPr>
              <w:pStyle w:val="17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7"/>
              <w:numPr>
                <w:ilvl w:val="0"/>
                <w:numId w:val="0"/>
              </w:numPr>
              <w:ind w:firstLine="420" w:firstLineChars="200"/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</w:p>
          <w:p>
            <w:pPr>
              <w:pStyle w:val="17"/>
              <w:numPr>
                <w:ilvl w:val="0"/>
                <w:numId w:val="0"/>
              </w:numPr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080D1876"/>
    <w:rsid w:val="0A376245"/>
    <w:rsid w:val="11A97D0B"/>
    <w:rsid w:val="201E2085"/>
    <w:rsid w:val="2EFD66FB"/>
    <w:rsid w:val="33632DF3"/>
    <w:rsid w:val="365F04F4"/>
    <w:rsid w:val="36632889"/>
    <w:rsid w:val="38A001EC"/>
    <w:rsid w:val="3CD5701C"/>
    <w:rsid w:val="3DBF1EC9"/>
    <w:rsid w:val="5D1041BB"/>
    <w:rsid w:val="697D4817"/>
    <w:rsid w:val="750B1F59"/>
    <w:rsid w:val="7BD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8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Cs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3"/>
    <w:basedOn w:val="3"/>
    <w:qFormat/>
    <w:uiPriority w:val="0"/>
    <w:pPr>
      <w:spacing w:line="440" w:lineRule="atLeast"/>
      <w:ind w:firstLine="564"/>
    </w:pPr>
    <w:rPr>
      <w:b/>
      <w:sz w:val="24"/>
      <w:szCs w:val="20"/>
    </w:rPr>
  </w:style>
  <w:style w:type="paragraph" w:styleId="3">
    <w:name w:val="Plain Text"/>
    <w:basedOn w:val="1"/>
    <w:next w:val="4"/>
    <w:qFormat/>
    <w:uiPriority w:val="0"/>
    <w:pPr>
      <w:spacing w:before="156" w:beforeLines="50" w:after="156" w:afterLines="50" w:line="400" w:lineRule="exact"/>
    </w:pPr>
    <w:rPr>
      <w:rFonts w:hAnsi="Courier New"/>
    </w:rPr>
  </w:style>
  <w:style w:type="paragraph" w:customStyle="1" w:styleId="4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Body Text Indent"/>
    <w:basedOn w:val="1"/>
    <w:next w:val="11"/>
    <w:qFormat/>
    <w:uiPriority w:val="0"/>
    <w:pPr>
      <w:widowControl w:val="0"/>
      <w:spacing w:after="120" w:line="360" w:lineRule="exact"/>
      <w:ind w:firstLine="482"/>
      <w:jc w:val="both"/>
    </w:pPr>
    <w:rPr>
      <w:rFonts w:ascii="Arial" w:hAnsi="Arial" w:cs="Times New Roman"/>
      <w:kern w:val="2"/>
      <w:szCs w:val="20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12">
    <w:name w:val="Body Text First Indent"/>
    <w:basedOn w:val="9"/>
    <w:qFormat/>
    <w:uiPriority w:val="0"/>
    <w:pPr>
      <w:ind w:firstLine="420" w:firstLineChars="100"/>
    </w:pPr>
  </w:style>
  <w:style w:type="paragraph" w:styleId="13">
    <w:name w:val="Body Text First Indent 2"/>
    <w:basedOn w:val="10"/>
    <w:next w:val="12"/>
    <w:qFormat/>
    <w:uiPriority w:val="0"/>
    <w:pPr>
      <w:ind w:left="420" w:leftChars="200" w:firstLine="420" w:firstLineChars="200"/>
    </w:pPr>
    <w:rPr>
      <w:sz w:val="21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