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护理管理系统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FF"/>
                <w:kern w:val="28"/>
                <w:sz w:val="21"/>
                <w:szCs w:val="20"/>
                <w:vertAlign w:val="baseline"/>
                <w:lang w:val="zh-CN" w:eastAsia="zh-CN" w:bidi="ar-SA"/>
              </w:rPr>
              <w:t>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26万元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我院于20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护理管理系统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，共计投入36.5万元。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面对近几年提出的现代化医院建设、电子病历、智慧服务、智慧管理“三位一体”的智慧医院建设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医院信息标准化建设及新版等级医院评审要求，加上我院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护理管理系统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</w:t>
            </w:r>
            <w:bookmarkStart w:id="0" w:name="_GoBack"/>
            <w:bookmarkEnd w:id="0"/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改造升级目标：兰亭院区和延安路院区共用一套数据库，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护理管理系统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按照多院区模式进行改造。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护理管理系统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需要进行底层代码组织改造，区分两个院区的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基础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数据，业务数据。</w:t>
            </w:r>
          </w:p>
          <w:p>
            <w:pPr>
              <w:pStyle w:val="17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仿宋" w:hAnsi="仿宋"/>
              </w:rPr>
              <w:t>护理质控管理、夜查房管理、在线考试系统（客观题）、护理培训管理系统、护理满意度患者使用端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；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2、增加</w:t>
            </w:r>
            <w:r>
              <w:rPr>
                <w:rFonts w:hint="eastAsia" w:ascii="仿宋" w:hAnsi="仿宋"/>
              </w:rPr>
              <w:t>国家护理敏感性指标</w:t>
            </w:r>
            <w:r>
              <w:rPr>
                <w:rFonts w:hint="eastAsia" w:ascii="仿宋" w:hAnsi="仿宋"/>
                <w:lang w:eastAsia="zh-CN"/>
              </w:rPr>
              <w:t>；</w:t>
            </w:r>
            <w:r>
              <w:rPr>
                <w:rFonts w:hint="eastAsia" w:ascii="仿宋" w:hAnsi="仿宋"/>
                <w:lang w:val="en-US" w:eastAsia="zh-CN"/>
              </w:rPr>
              <w:t>3、多院区改造；4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、包括2年的维保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7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7"/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D5E0F"/>
    <w:multiLevelType w:val="singleLevel"/>
    <w:tmpl w:val="D8DD5E0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093E3D42"/>
    <w:rsid w:val="1E0F2115"/>
    <w:rsid w:val="201E2085"/>
    <w:rsid w:val="20CE7118"/>
    <w:rsid w:val="2EFD66FB"/>
    <w:rsid w:val="33632DF3"/>
    <w:rsid w:val="365F04F4"/>
    <w:rsid w:val="36632889"/>
    <w:rsid w:val="37C15572"/>
    <w:rsid w:val="38A001EC"/>
    <w:rsid w:val="3CD5701C"/>
    <w:rsid w:val="3DBF1EC9"/>
    <w:rsid w:val="4BE87932"/>
    <w:rsid w:val="4CD15DA7"/>
    <w:rsid w:val="53574233"/>
    <w:rsid w:val="5D1041BB"/>
    <w:rsid w:val="65234580"/>
    <w:rsid w:val="697D4817"/>
    <w:rsid w:val="74B72FAC"/>
    <w:rsid w:val="750B1F59"/>
    <w:rsid w:val="77594D26"/>
    <w:rsid w:val="7A1A15E1"/>
    <w:rsid w:val="7BD5235C"/>
    <w:rsid w:val="7F1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Cs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next w:val="9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10">
    <w:name w:val="Plain Text"/>
    <w:basedOn w:val="1"/>
    <w:next w:val="11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customStyle="1" w:styleId="11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2">
    <w:name w:val="Body Text First Indent 2"/>
    <w:basedOn w:val="8"/>
    <w:next w:val="2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样式3"/>
    <w:basedOn w:val="10"/>
    <w:qFormat/>
    <w:uiPriority w:val="0"/>
    <w:pPr>
      <w:spacing w:line="440" w:lineRule="atLeast"/>
      <w:ind w:firstLine="564"/>
    </w:pPr>
    <w:rPr>
      <w:b/>
      <w:sz w:val="24"/>
      <w:szCs w:val="20"/>
    </w:rPr>
  </w:style>
  <w:style w:type="paragraph" w:customStyle="1" w:styleId="1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3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