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输血管理系统</w:t>
            </w:r>
            <w:r>
              <w:rPr>
                <w:rFonts w:hint="eastAsia"/>
                <w:color w:val="0000FF"/>
                <w:lang w:eastAsia="zh-CN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目前的输血管理系统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，功能包括：临床输血医师工作平台、临床输血护士工作平台、临床输血智慧实验室工作平台，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2023年年底增加12项目指标的上报功能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，合计投入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33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万元。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目前延安路院区已基本完成了血液管理与输血科业务的流程管理，基本满足输血科日常用血业务，但是存在一些问题与不足：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延安路院区产品无法进行一院两区应用：需完成两院区改造。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亟需完成功能优化：血液共享，库存调拨，申请转移等等。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如本次用血信息化兰亭院区不扩建，将可能导致兰亭院区整体用血业务执行效率降低；用血业务出错率提升继而无法保障用血安全，减少与输血治疗相关的业务，如手术开展，急救等等，最终可能导致患者满意度下降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扩充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升级目标：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改造一款适用于我院（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一院多区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）的全流程闭环输血信息管理软件。系统将联通血站与院内各信息系统（HIS，LIS，EMR等），真正地实现输血科及相关职能部门对用血全程进行跟踪与监管。同时，可确保采、供、输信息的完整性和一致性，促进和保证了用血的安全，也提高了血液质量的管理水平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具体改造内容：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系统性改造：需对现有基础参数进行改造，添加分院区分标识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Hans"/>
              </w:rPr>
              <w:t>新增需求与功能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：新增总分院信息互联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业务流程进行改造：添加分院区分标识，对现有数据库100多个数据表中增加院区标识字段，满足数据统一存储和管理，逻辑隔离的需求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接口改造：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添加分院区标识对接院集成平台等第三方系统，实现总分院隔离，各自数据闭环。</w:t>
            </w:r>
          </w:p>
          <w:p>
            <w:pPr>
              <w:pStyle w:val="10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0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C511E1F"/>
    <w:rsid w:val="1DB43547"/>
    <w:rsid w:val="201E2085"/>
    <w:rsid w:val="33632DF3"/>
    <w:rsid w:val="37032650"/>
    <w:rsid w:val="52670DFD"/>
    <w:rsid w:val="5D1041BB"/>
    <w:rsid w:val="5E204FD1"/>
    <w:rsid w:val="5FBE690A"/>
    <w:rsid w:val="670D6EF4"/>
    <w:rsid w:val="697D4817"/>
    <w:rsid w:val="750B1F59"/>
    <w:rsid w:val="75743CE8"/>
    <w:rsid w:val="76765576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before="156" w:beforeLines="50" w:after="156" w:afterLines="50" w:line="400" w:lineRule="exact"/>
    </w:pPr>
    <w:rPr>
      <w:rFonts w:ascii="宋体" w:hAnsi="Courier New" w:eastAsia="宋体"/>
      <w:sz w:val="24"/>
    </w:rPr>
  </w:style>
  <w:style w:type="paragraph" w:customStyle="1" w:styleId="3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  <w:style w:type="paragraph" w:customStyle="1" w:styleId="11">
    <w:name w:val="样式3"/>
    <w:basedOn w:val="2"/>
    <w:qFormat/>
    <w:uiPriority w:val="0"/>
    <w:pPr>
      <w:spacing w:line="440" w:lineRule="atLeast"/>
      <w:ind w:firstLine="564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