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_GB2312" w:hAnsi="仿宋" w:eastAsia="仿宋_GB2312"/>
          <w:b/>
          <w:bCs/>
          <w:sz w:val="36"/>
          <w:szCs w:val="28"/>
        </w:rPr>
      </w:pPr>
      <w:r>
        <w:rPr>
          <w:rFonts w:hint="eastAsia" w:ascii="仿宋_GB2312" w:hAnsi="仿宋" w:eastAsia="仿宋_GB2312"/>
          <w:b/>
          <w:bCs/>
          <w:sz w:val="36"/>
          <w:szCs w:val="28"/>
        </w:rPr>
        <w:t>绍兴第二医院排污环保检测（污水检测）项目基本情况及要求</w:t>
      </w:r>
    </w:p>
    <w:p>
      <w:pPr>
        <w:pStyle w:val="3"/>
        <w:spacing w:line="360" w:lineRule="auto"/>
        <w:rPr>
          <w:rFonts w:ascii="仿宋_GB2312" w:hAnsi="仿宋" w:eastAsia="仿宋_GB2312"/>
          <w:b/>
          <w:bCs/>
          <w:sz w:val="24"/>
        </w:rPr>
      </w:pPr>
      <w:r>
        <w:rPr>
          <w:rFonts w:hint="eastAsia" w:ascii="仿宋_GB2312" w:hAnsi="仿宋" w:eastAsia="仿宋_GB2312"/>
          <w:b/>
          <w:bCs/>
          <w:sz w:val="24"/>
        </w:rPr>
        <w:t>一、项目概述</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1、绍兴第二医院排污环保检测、按采购人要求完成系统数据上传及相关服务。</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2、实施周期：按采购人规定的时间要求安排采样。</w:t>
      </w:r>
    </w:p>
    <w:p>
      <w:pPr>
        <w:pStyle w:val="3"/>
        <w:spacing w:line="360" w:lineRule="auto"/>
        <w:rPr>
          <w:rFonts w:ascii="仿宋_GB2312" w:hAnsi="仿宋" w:eastAsia="仿宋_GB2312"/>
          <w:b/>
          <w:bCs/>
          <w:sz w:val="24"/>
        </w:rPr>
      </w:pPr>
      <w:r>
        <w:rPr>
          <w:rFonts w:hint="eastAsia" w:ascii="仿宋_GB2312" w:hAnsi="仿宋" w:eastAsia="仿宋_GB2312"/>
          <w:b/>
          <w:bCs/>
          <w:sz w:val="24"/>
        </w:rPr>
        <w:t>二、检测要求</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环境保护法》、《中华人民共和国大气污染防治法》、《中华人民共和国水污染防治法》，结合生态环境部HJ1105-2020排污许可申请与核发技术规范（医疗机构）的要求，2020年起规定了医疗机构排污单位污水监测点位、监测指标和最低监测频次。</w:t>
      </w:r>
    </w:p>
    <w:p>
      <w:pPr>
        <w:pStyle w:val="3"/>
        <w:spacing w:line="360" w:lineRule="auto"/>
        <w:rPr>
          <w:rFonts w:ascii="仿宋_GB2312" w:hAnsi="仿宋" w:eastAsia="仿宋_GB2312"/>
          <w:b/>
          <w:bCs/>
          <w:sz w:val="24"/>
        </w:rPr>
      </w:pPr>
      <w:r>
        <w:rPr>
          <w:rFonts w:hint="eastAsia" w:ascii="仿宋_GB2312" w:hAnsi="仿宋" w:eastAsia="仿宋_GB2312"/>
          <w:b/>
          <w:bCs/>
          <w:sz w:val="24"/>
        </w:rPr>
        <w:t>三、检测服务内容</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本单位的污水、废气等不同污染物样本，检测指标、检测频次整理如下：</w:t>
      </w:r>
    </w:p>
    <w:tbl>
      <w:tblPr>
        <w:tblStyle w:val="4"/>
        <w:tblW w:w="7436" w:type="dxa"/>
        <w:jc w:val="center"/>
        <w:tblLayout w:type="autofit"/>
        <w:tblCellMar>
          <w:top w:w="0" w:type="dxa"/>
          <w:left w:w="108" w:type="dxa"/>
          <w:bottom w:w="0" w:type="dxa"/>
          <w:right w:w="108" w:type="dxa"/>
        </w:tblCellMar>
      </w:tblPr>
      <w:tblGrid>
        <w:gridCol w:w="675"/>
        <w:gridCol w:w="1080"/>
        <w:gridCol w:w="1080"/>
        <w:gridCol w:w="900"/>
        <w:gridCol w:w="975"/>
        <w:gridCol w:w="780"/>
        <w:gridCol w:w="1946"/>
      </w:tblGrid>
      <w:tr>
        <w:tblPrEx>
          <w:tblCellMar>
            <w:top w:w="0" w:type="dxa"/>
            <w:left w:w="108" w:type="dxa"/>
            <w:bottom w:w="0" w:type="dxa"/>
            <w:right w:w="108" w:type="dxa"/>
          </w:tblCellMar>
        </w:tblPrEx>
        <w:trPr>
          <w:trHeight w:val="330" w:hRule="atLeast"/>
          <w:jc w:val="center"/>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样品位置与名称</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检 测 指标</w:t>
            </w:r>
          </w:p>
        </w:tc>
        <w:tc>
          <w:tcPr>
            <w:tcW w:w="900" w:type="dxa"/>
            <w:tcBorders>
              <w:top w:val="single" w:color="000000" w:sz="8" w:space="0"/>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检测</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点位数量（个）</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频次</w:t>
            </w:r>
          </w:p>
        </w:tc>
        <w:tc>
          <w:tcPr>
            <w:tcW w:w="19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合计次数</w:t>
            </w:r>
          </w:p>
        </w:tc>
      </w:tr>
      <w:tr>
        <w:tblPrEx>
          <w:tblCellMar>
            <w:top w:w="0" w:type="dxa"/>
            <w:left w:w="108" w:type="dxa"/>
            <w:bottom w:w="0" w:type="dxa"/>
            <w:right w:w="108" w:type="dxa"/>
          </w:tblCellMar>
        </w:tblPrEx>
        <w:trPr>
          <w:trHeight w:val="300" w:hRule="atLeast"/>
          <w:jc w:val="center"/>
        </w:trPr>
        <w:tc>
          <w:tcPr>
            <w:tcW w:w="6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频率</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延安院区污水综合排放口/DW001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CODcr</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每周</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52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悬浮物SS</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52</w:t>
            </w:r>
          </w:p>
        </w:tc>
      </w:tr>
      <w:tr>
        <w:tblPrEx>
          <w:tblCellMar>
            <w:top w:w="0" w:type="dxa"/>
            <w:left w:w="108" w:type="dxa"/>
            <w:bottom w:w="0" w:type="dxa"/>
            <w:right w:w="108" w:type="dxa"/>
          </w:tblCellMar>
        </w:tblPrEx>
        <w:trPr>
          <w:trHeight w:val="6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银</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PH值</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氨氮</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余氯</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BOD5</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石油类</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铅</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挥发酚</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色度</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动植物油</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总氰化物</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阴离子表面活性剂</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汞</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镉</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铬</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六价铬</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砷</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沙门氏菌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志贺氏菌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每半年</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延安院区污水处理站废气（无组织）</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硫化氢</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臭气浓度</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甲烷</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氯气</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延安院区锅炉房烟气排口废气</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颗粒物</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二氧化硫</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林格曼黑度</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氮氧化物</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108</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延安院区低放射污水排放口DW003</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总α放射性</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总β放射性</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1080" w:type="dxa"/>
            <w:vMerge w:val="restart"/>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延安院区污泥池</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1080" w:type="dxa"/>
            <w:vMerge w:val="continue"/>
            <w:tcBorders>
              <w:top w:val="nil"/>
              <w:left w:val="single" w:color="000000" w:sz="8" w:space="0"/>
              <w:bottom w:val="nil"/>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蛔虫卵死亡率</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城西门诊部污水综合排放口（2024年11月-2025年7月）</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CODcr</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每周</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悬浮物SS</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39</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银</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PH值</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氨氮</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余氯</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BOD5</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石油类</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铅</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挥发酚</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色度</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动植物油</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总氰化物</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阴离子表面活性剂</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汞</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镉</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铬</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六价铬</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砷</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沙门氏菌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志贺氏菌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每半年</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兰亭院区污水综合排放口（2024年12月-2025年7月）</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CODcr</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每周</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r>
      <w:tr>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悬浮物SS</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r>
      <w:tr>
        <w:trPr>
          <w:trHeight w:val="51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银</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PH值</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氨氮</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余氯</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BOD5</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石油类</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铅</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挥发酚</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色度</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动植物油</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总氰化物</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51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阴离子表面活性剂</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汞</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镉</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铬</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六价铬</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砷</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沙门氏菌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r>
      <w:tr>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志贺氏菌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每半年</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r>
      <w:tr>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兰亭院区污水处理站废气（无组织）（2024年12月-2025年7月）</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r>
      <w:tr>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硫化氢</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r>
      <w:tr>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臭气浓度</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r>
      <w:tr>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甲烷</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r>
      <w:tr>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84</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氯气</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r>
      <w:tr>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兰亭院区锅炉房烟气排口废气（2024年12月-2025年7月）</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颗粒物</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86</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二氧化硫</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87</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林格曼黑度</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88</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氮氧化物</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63</w:t>
            </w:r>
          </w:p>
        </w:tc>
      </w:tr>
      <w:tr>
        <w:tblPrEx>
          <w:tblCellMar>
            <w:top w:w="0" w:type="dxa"/>
            <w:left w:w="108" w:type="dxa"/>
            <w:bottom w:w="0" w:type="dxa"/>
            <w:right w:w="108" w:type="dxa"/>
          </w:tblCellMar>
        </w:tblPrEx>
        <w:trPr>
          <w:trHeight w:val="8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89</w:t>
            </w:r>
          </w:p>
        </w:tc>
        <w:tc>
          <w:tcPr>
            <w:tcW w:w="1080" w:type="dxa"/>
            <w:vMerge w:val="restart"/>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兰亭院区低放射污水排放口（2024年12月-2025年7月）</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总α放射性</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r>
      <w:tr>
        <w:tblPrEx>
          <w:tblCellMar>
            <w:top w:w="0" w:type="dxa"/>
            <w:left w:w="108" w:type="dxa"/>
            <w:bottom w:w="0" w:type="dxa"/>
            <w:right w:w="108" w:type="dxa"/>
          </w:tblCellMar>
        </w:tblPrEx>
        <w:trPr>
          <w:trHeight w:val="8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90</w:t>
            </w:r>
          </w:p>
        </w:tc>
        <w:tc>
          <w:tcPr>
            <w:tcW w:w="1080" w:type="dxa"/>
            <w:vMerge w:val="continue"/>
            <w:tcBorders>
              <w:top w:val="nil"/>
              <w:left w:val="single" w:color="000000" w:sz="8" w:space="0"/>
              <w:bottom w:val="nil"/>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总β放射性</w:t>
            </w:r>
          </w:p>
        </w:tc>
        <w:tc>
          <w:tcPr>
            <w:tcW w:w="900" w:type="dxa"/>
            <w:vMerge w:val="continue"/>
            <w:tcBorders>
              <w:top w:val="nil"/>
              <w:left w:val="single" w:color="000000" w:sz="8" w:space="0"/>
              <w:bottom w:val="single" w:color="000000" w:sz="8"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r>
      <w:tr>
        <w:trPr>
          <w:trHeight w:val="660" w:hRule="atLeast"/>
          <w:jc w:val="center"/>
        </w:trPr>
        <w:tc>
          <w:tcPr>
            <w:tcW w:w="675" w:type="dxa"/>
            <w:tcBorders>
              <w:top w:val="nil"/>
              <w:left w:val="single" w:color="000000" w:sz="8" w:space="0"/>
              <w:bottom w:val="single" w:color="000000" w:sz="8" w:space="0"/>
              <w:right w:val="nil"/>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兰亭院区污泥池（2024年12月-2025年7月）</w:t>
            </w:r>
          </w:p>
        </w:tc>
        <w:tc>
          <w:tcPr>
            <w:tcW w:w="1080"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r>
      <w:tr>
        <w:tblPrEx>
          <w:tblCellMar>
            <w:top w:w="0" w:type="dxa"/>
            <w:left w:w="108" w:type="dxa"/>
            <w:bottom w:w="0" w:type="dxa"/>
            <w:right w:w="108" w:type="dxa"/>
          </w:tblCellMar>
        </w:tblPrEx>
        <w:trPr>
          <w:trHeight w:val="660" w:hRule="atLeast"/>
          <w:jc w:val="center"/>
        </w:trPr>
        <w:tc>
          <w:tcPr>
            <w:tcW w:w="675" w:type="dxa"/>
            <w:tcBorders>
              <w:top w:val="nil"/>
              <w:left w:val="single" w:color="000000" w:sz="8" w:space="0"/>
              <w:bottom w:val="nil"/>
              <w:right w:val="nil"/>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92</w:t>
            </w:r>
          </w:p>
        </w:tc>
        <w:tc>
          <w:tcPr>
            <w:tcW w:w="1080" w:type="dxa"/>
            <w:vMerge w:val="continue"/>
            <w:tcBorders>
              <w:top w:val="single" w:color="000000" w:sz="8" w:space="0"/>
              <w:left w:val="single" w:color="000000" w:sz="8" w:space="0"/>
              <w:bottom w:val="single" w:color="000000" w:sz="4" w:space="0"/>
              <w:right w:val="single" w:color="000000" w:sz="8" w:space="0"/>
            </w:tcBorders>
            <w:vAlign w:val="center"/>
          </w:tcPr>
          <w:p>
            <w:pPr>
              <w:widowControl/>
              <w:adjustRightInd/>
              <w:jc w:val="left"/>
              <w:rPr>
                <w:rFonts w:ascii="仿宋" w:hAnsi="仿宋" w:eastAsia="仿宋" w:cs="宋体"/>
                <w:color w:val="000000"/>
                <w:kern w:val="0"/>
                <w:szCs w:val="21"/>
              </w:rPr>
            </w:pPr>
          </w:p>
        </w:tc>
        <w:tc>
          <w:tcPr>
            <w:tcW w:w="1080"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蛔虫卵死亡率</w:t>
            </w:r>
          </w:p>
        </w:tc>
        <w:tc>
          <w:tcPr>
            <w:tcW w:w="900" w:type="dxa"/>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946" w:type="dxa"/>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r>
      <w:tr>
        <w:tblPrEx>
          <w:tblCellMar>
            <w:top w:w="0" w:type="dxa"/>
            <w:left w:w="108" w:type="dxa"/>
            <w:bottom w:w="0" w:type="dxa"/>
            <w:right w:w="108" w:type="dxa"/>
          </w:tblCellMar>
        </w:tblPrEx>
        <w:trPr>
          <w:trHeight w:val="525" w:hRule="atLeast"/>
          <w:jc w:val="cent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93</w:t>
            </w:r>
          </w:p>
        </w:tc>
        <w:tc>
          <w:tcPr>
            <w:tcW w:w="676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两系统填报费用</w:t>
            </w:r>
          </w:p>
        </w:tc>
      </w:tr>
    </w:tbl>
    <w:p>
      <w:pPr>
        <w:spacing w:line="440" w:lineRule="exact"/>
        <w:rPr>
          <w:rFonts w:ascii="仿宋" w:hAnsi="仿宋" w:eastAsia="仿宋" w:cs="仿宋"/>
          <w:b/>
          <w:bCs/>
          <w:color w:val="000000"/>
          <w:sz w:val="24"/>
        </w:rPr>
      </w:pPr>
      <w:r>
        <w:rPr>
          <w:rFonts w:hint="eastAsia" w:ascii="仿宋" w:hAnsi="仿宋" w:eastAsia="仿宋" w:cs="仿宋"/>
          <w:b/>
          <w:bCs/>
          <w:color w:val="000000"/>
          <w:sz w:val="24"/>
        </w:rPr>
        <w:t>注：以上所有检测项目根据实际要求及产生检测次数进行结算。</w:t>
      </w:r>
    </w:p>
    <w:p>
      <w:pPr>
        <w:pStyle w:val="3"/>
        <w:spacing w:line="360" w:lineRule="auto"/>
        <w:rPr>
          <w:rFonts w:ascii="仿宋_GB2312" w:hAnsi="仿宋" w:eastAsia="仿宋_GB2312"/>
          <w:color w:val="000000"/>
          <w:sz w:val="24"/>
        </w:rPr>
      </w:pPr>
    </w:p>
    <w:p>
      <w:pPr>
        <w:pStyle w:val="3"/>
        <w:spacing w:line="360" w:lineRule="auto"/>
        <w:rPr>
          <w:rFonts w:ascii="仿宋_GB2312" w:hAnsi="仿宋" w:eastAsia="仿宋_GB2312"/>
          <w:b/>
          <w:bCs/>
          <w:color w:val="000000"/>
          <w:sz w:val="24"/>
        </w:rPr>
      </w:pPr>
      <w:r>
        <w:rPr>
          <w:rFonts w:hint="eastAsia" w:ascii="仿宋_GB2312" w:hAnsi="仿宋" w:eastAsia="仿宋_GB2312"/>
          <w:b/>
          <w:bCs/>
          <w:color w:val="000000"/>
          <w:sz w:val="24"/>
        </w:rPr>
        <w:t>四、质控要求</w:t>
      </w:r>
    </w:p>
    <w:p>
      <w:pPr>
        <w:pStyle w:val="3"/>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为保证实验室所提供数据的准确、真实、可靠，同时保证检测结果的公平、公正，中标单位需按照质控要求执行。</w:t>
      </w:r>
    </w:p>
    <w:p>
      <w:pPr>
        <w:pStyle w:val="3"/>
        <w:spacing w:line="360" w:lineRule="auto"/>
        <w:ind w:firstLine="480" w:firstLineChars="200"/>
        <w:rPr>
          <w:rFonts w:ascii="仿宋_GB2312" w:hAnsi="仿宋" w:eastAsia="仿宋_GB2312"/>
          <w:sz w:val="24"/>
        </w:rPr>
      </w:pPr>
      <w:r>
        <w:rPr>
          <w:rFonts w:hint="eastAsia" w:ascii="仿宋_GB2312" w:hAnsi="仿宋" w:eastAsia="仿宋_GB2312"/>
          <w:color w:val="000000"/>
          <w:sz w:val="24"/>
        </w:rPr>
        <w:t>1、各采样项目采样容器、样品保存要求、采</w:t>
      </w:r>
      <w:r>
        <w:rPr>
          <w:rFonts w:hint="eastAsia" w:ascii="仿宋_GB2312" w:hAnsi="仿宋" w:eastAsia="仿宋_GB2312"/>
          <w:sz w:val="24"/>
        </w:rPr>
        <w:t>样方法严格按照国家或行业标准规范要求执行。</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2、所有样品均须投标人现场采样，采样同时须拍摄照片或视频，内容包含采样时间、周边明显标志物等佐证资料，并提供给采购人。</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3、日常检测完成后10日内出具检测报告，检测报告一式两份并寄送或递交至采购人处；</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4、项目组人员须具备环境相关专业职称人员，应有较强的检测技术能力和经验。</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5、检测方案实施完成后，按采购人要求协助配合在全国排污许可证管理信息平台和浙江省重点污染源监测数据管理系统上录入相关信息及编制报告等。</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7、税费、快递费、报告费、差旅费、产生垃圾清运费等费用均含在报价中。</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8、如遇环保部门要求或因排污许可证变更等增加监测指标和频次的，在预算金额内根据实际工作量以合同单价进行结算。</w:t>
      </w:r>
    </w:p>
    <w:p>
      <w:pPr>
        <w:pStyle w:val="3"/>
        <w:spacing w:line="360" w:lineRule="auto"/>
        <w:ind w:firstLine="480" w:firstLineChars="200"/>
        <w:rPr>
          <w:rFonts w:hint="eastAsia" w:ascii="仿宋_GB2312" w:hAnsi="仿宋" w:eastAsia="仿宋_GB2312"/>
          <w:sz w:val="24"/>
        </w:rPr>
      </w:pPr>
      <w:r>
        <w:rPr>
          <w:rFonts w:hint="eastAsia" w:ascii="仿宋_GB2312" w:hAnsi="仿宋" w:eastAsia="仿宋_GB2312"/>
          <w:sz w:val="24"/>
        </w:rPr>
        <w:t>9、</w:t>
      </w:r>
      <w:r>
        <w:rPr>
          <w:rFonts w:ascii="仿宋_GB2312" w:hAnsi="仿宋" w:eastAsia="仿宋_GB2312"/>
          <w:sz w:val="24"/>
        </w:rPr>
        <w:t>如遇</w:t>
      </w:r>
      <w:r>
        <w:rPr>
          <w:rFonts w:hint="eastAsia" w:ascii="仿宋_GB2312" w:hAnsi="仿宋" w:eastAsia="仿宋_GB2312"/>
          <w:sz w:val="24"/>
        </w:rPr>
        <w:t>环保等</w:t>
      </w:r>
      <w:r>
        <w:rPr>
          <w:rFonts w:ascii="仿宋_GB2312" w:hAnsi="仿宋" w:eastAsia="仿宋_GB2312"/>
          <w:sz w:val="24"/>
        </w:rPr>
        <w:t>部门执法检查时</w:t>
      </w:r>
      <w:r>
        <w:rPr>
          <w:rFonts w:hint="eastAsia" w:ascii="仿宋_GB2312" w:hAnsi="仿宋" w:eastAsia="仿宋_GB2312"/>
          <w:sz w:val="24"/>
        </w:rPr>
        <w:t>，中标</w:t>
      </w:r>
      <w:r>
        <w:rPr>
          <w:rFonts w:ascii="仿宋_GB2312" w:hAnsi="仿宋" w:eastAsia="仿宋_GB2312"/>
          <w:sz w:val="24"/>
        </w:rPr>
        <w:t>单位</w:t>
      </w:r>
      <w:r>
        <w:rPr>
          <w:rFonts w:hint="eastAsia" w:ascii="仿宋_GB2312" w:hAnsi="仿宋" w:eastAsia="仿宋_GB2312"/>
          <w:sz w:val="24"/>
        </w:rPr>
        <w:t>需</w:t>
      </w:r>
      <w:r>
        <w:rPr>
          <w:rFonts w:ascii="仿宋_GB2312" w:hAnsi="仿宋" w:eastAsia="仿宋_GB2312"/>
          <w:sz w:val="24"/>
        </w:rPr>
        <w:t>配合采购人</w:t>
      </w:r>
      <w:r>
        <w:rPr>
          <w:rFonts w:hint="eastAsia" w:ascii="仿宋_GB2312" w:hAnsi="仿宋" w:eastAsia="仿宋_GB2312"/>
          <w:sz w:val="24"/>
        </w:rPr>
        <w:t>进行</w:t>
      </w:r>
      <w:r>
        <w:rPr>
          <w:rFonts w:ascii="仿宋_GB2312" w:hAnsi="仿宋" w:eastAsia="仿宋_GB2312"/>
          <w:sz w:val="24"/>
        </w:rPr>
        <w:t>第三方</w:t>
      </w:r>
      <w:r>
        <w:rPr>
          <w:rFonts w:hint="eastAsia" w:ascii="仿宋_GB2312" w:hAnsi="仿宋" w:eastAsia="仿宋_GB2312"/>
          <w:sz w:val="24"/>
        </w:rPr>
        <w:t>对照</w:t>
      </w:r>
      <w:r>
        <w:rPr>
          <w:rFonts w:ascii="仿宋_GB2312" w:hAnsi="仿宋" w:eastAsia="仿宋_GB2312"/>
          <w:sz w:val="24"/>
        </w:rPr>
        <w:t>检测，</w:t>
      </w:r>
      <w:r>
        <w:rPr>
          <w:rFonts w:hint="eastAsia" w:ascii="仿宋_GB2312" w:hAnsi="仿宋" w:eastAsia="仿宋_GB2312"/>
          <w:sz w:val="24"/>
        </w:rPr>
        <w:t>如</w:t>
      </w:r>
      <w:r>
        <w:rPr>
          <w:rFonts w:ascii="仿宋_GB2312" w:hAnsi="仿宋" w:eastAsia="仿宋_GB2312"/>
          <w:sz w:val="24"/>
        </w:rPr>
        <w:t>需要时提供</w:t>
      </w:r>
      <w:r>
        <w:rPr>
          <w:rFonts w:hint="eastAsia" w:ascii="仿宋_GB2312" w:hAnsi="仿宋" w:eastAsia="仿宋_GB2312"/>
          <w:sz w:val="24"/>
        </w:rPr>
        <w:t>相应</w:t>
      </w:r>
      <w:r>
        <w:rPr>
          <w:rFonts w:ascii="仿宋_GB2312" w:hAnsi="仿宋" w:eastAsia="仿宋_GB2312"/>
          <w:sz w:val="24"/>
        </w:rPr>
        <w:t>的检测报告、原始数据、采样</w:t>
      </w:r>
      <w:r>
        <w:rPr>
          <w:rFonts w:hint="eastAsia" w:ascii="仿宋_GB2312" w:hAnsi="仿宋" w:eastAsia="仿宋_GB2312"/>
          <w:sz w:val="24"/>
        </w:rPr>
        <w:t>照片</w:t>
      </w:r>
      <w:r>
        <w:rPr>
          <w:rFonts w:ascii="仿宋_GB2312" w:hAnsi="仿宋" w:eastAsia="仿宋_GB2312"/>
          <w:sz w:val="24"/>
        </w:rPr>
        <w:t>或视频等</w:t>
      </w:r>
      <w:r>
        <w:rPr>
          <w:rFonts w:hint="eastAsia" w:ascii="仿宋_GB2312" w:hAnsi="仿宋" w:eastAsia="仿宋_GB2312"/>
          <w:sz w:val="24"/>
        </w:rPr>
        <w:t>材料,产生</w:t>
      </w:r>
      <w:r>
        <w:rPr>
          <w:rFonts w:ascii="仿宋_GB2312" w:hAnsi="仿宋" w:eastAsia="仿宋_GB2312"/>
          <w:sz w:val="24"/>
        </w:rPr>
        <w:t>的检测费用</w:t>
      </w:r>
      <w:r>
        <w:rPr>
          <w:rFonts w:hint="eastAsia" w:ascii="仿宋_GB2312" w:hAnsi="仿宋" w:eastAsia="仿宋_GB2312"/>
          <w:sz w:val="24"/>
        </w:rPr>
        <w:t>在预算金额内根据实际工作量以合同单价进行结算。</w:t>
      </w:r>
    </w:p>
    <w:p>
      <w:pPr>
        <w:pStyle w:val="3"/>
        <w:spacing w:line="360" w:lineRule="auto"/>
        <w:rPr>
          <w:rFonts w:ascii="仿宋_GB2312" w:hAnsi="仿宋" w:eastAsia="仿宋_GB2312"/>
          <w:b/>
          <w:bCs/>
          <w:sz w:val="24"/>
        </w:rPr>
      </w:pPr>
      <w:r>
        <w:rPr>
          <w:rFonts w:hint="eastAsia" w:ascii="仿宋_GB2312" w:hAnsi="仿宋" w:eastAsia="仿宋_GB2312"/>
          <w:b/>
          <w:bCs/>
          <w:sz w:val="24"/>
        </w:rPr>
        <w:t>五、供应商应在响应文件中提供以下内容：</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1、针对本项目的检测实施组织方案、质量保证措施；</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2、结合项目现场实际情况，针对检测的关键点和难点的分析，并提出合理化建议、相应的解决措施和实施方案（包括检测流程、检测方法、检测报告出具等内容）</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3、针对本项目的服务时效及承诺情况（包括上门取样响应时间、样品取样后送达实验室时间、检测报告出具等时效性承诺）；</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4、供应商检测设备配备情况，并提供相关检测设备、材料、车辆的照片、证书等证明材料；</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5、建立服务保障应急预案，方案对系统实施可能遇到的问题及其应对措施；</w:t>
      </w:r>
    </w:p>
    <w:p>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6、针对本项目的优惠条件和承诺，服务期满后的优惠承诺；</w:t>
      </w:r>
    </w:p>
    <w:p>
      <w:pPr>
        <w:pStyle w:val="3"/>
        <w:spacing w:line="360" w:lineRule="auto"/>
        <w:ind w:firstLine="480" w:firstLineChars="200"/>
      </w:pPr>
      <w:r>
        <w:rPr>
          <w:rFonts w:hint="eastAsia" w:ascii="仿宋_GB2312" w:hAnsi="仿宋" w:eastAsia="仿宋_GB2312"/>
          <w:sz w:val="24"/>
        </w:rPr>
        <w:t>7、供应商的实验室内部管理制度。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0YzBkYTJkMmYyNjIyYjczYWNiYWI5ZDRkMzYwM2EifQ=="/>
  </w:docVars>
  <w:rsids>
    <w:rsidRoot w:val="00463260"/>
    <w:rsid w:val="000A7857"/>
    <w:rsid w:val="00361732"/>
    <w:rsid w:val="003B4AFB"/>
    <w:rsid w:val="004157FB"/>
    <w:rsid w:val="00463260"/>
    <w:rsid w:val="004B5B31"/>
    <w:rsid w:val="004E0883"/>
    <w:rsid w:val="005A07FE"/>
    <w:rsid w:val="006122A9"/>
    <w:rsid w:val="00845EA8"/>
    <w:rsid w:val="008749C7"/>
    <w:rsid w:val="00A14E80"/>
    <w:rsid w:val="00BC66AC"/>
    <w:rsid w:val="00BC703F"/>
    <w:rsid w:val="00D1604A"/>
    <w:rsid w:val="00D30829"/>
    <w:rsid w:val="00D74940"/>
    <w:rsid w:val="00F02B40"/>
    <w:rsid w:val="00F83149"/>
    <w:rsid w:val="00F96EBD"/>
    <w:rsid w:val="0B3B40F3"/>
    <w:rsid w:val="0DF30CB5"/>
    <w:rsid w:val="196A1E12"/>
    <w:rsid w:val="1E561CED"/>
    <w:rsid w:val="46D83FB0"/>
    <w:rsid w:val="66161F0F"/>
    <w:rsid w:val="6672630C"/>
    <w:rsid w:val="70621EA8"/>
    <w:rsid w:val="73D7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Arial"/>
      <w:snapToGrid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465</Words>
  <Characters>2651</Characters>
  <Lines>22</Lines>
  <Paragraphs>6</Paragraphs>
  <TotalTime>87</TotalTime>
  <ScaleCrop>false</ScaleCrop>
  <LinksUpToDate>false</LinksUpToDate>
  <CharactersWithSpaces>3110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2024-06-21T01:15:00Z</dcterms:created>
  <dc:creator>his</dc:creator>
  <cp:lastModifiedBy>Administrator</cp:lastModifiedBy>
  <cp:lastPrinted>2024-06-24T07:58:00Z</cp:lastPrinted>
  <dcterms:modified xsi:type="dcterms:W3CDTF">2024-07-16T08:19:30Z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5D459B403DE0490D91DFA18860945A4A_12</vt:lpwstr>
  </property>
</Properties>
</file>