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8D456">
      <w:pPr>
        <w:spacing w:line="360" w:lineRule="auto"/>
        <w:jc w:val="center"/>
        <w:outlineLvl w:val="0"/>
        <w:rPr>
          <w:rFonts w:hint="eastAsia" w:ascii="仿宋" w:hAnsi="仿宋" w:eastAsia="仿宋" w:cs="仿宋_GB2312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_GB2312"/>
          <w:b/>
          <w:sz w:val="36"/>
          <w:szCs w:val="36"/>
          <w:lang w:val="en-US" w:eastAsia="zh-CN"/>
        </w:rPr>
        <w:t>绍兴第二医院医共体总院污水处理药粉采购项目</w:t>
      </w:r>
    </w:p>
    <w:p w14:paraId="7B3BBABD">
      <w:pPr>
        <w:spacing w:line="360" w:lineRule="auto"/>
        <w:jc w:val="center"/>
        <w:outlineLvl w:val="0"/>
        <w:rPr>
          <w:rFonts w:hint="default" w:ascii="仿宋" w:hAnsi="仿宋" w:eastAsia="仿宋" w:cs="仿宋_GB2312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_GB2312"/>
          <w:b/>
          <w:sz w:val="36"/>
          <w:szCs w:val="36"/>
          <w:lang w:val="en-US" w:eastAsia="zh-CN"/>
        </w:rPr>
        <w:t>技术要求</w:t>
      </w:r>
    </w:p>
    <w:p w14:paraId="1C79495D">
      <w:pPr>
        <w:snapToGrid w:val="0"/>
        <w:spacing w:before="120" w:beforeLines="50" w:after="120" w:after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特别说明：</w:t>
      </w:r>
    </w:p>
    <w:p w14:paraId="3210BDFE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1.需求中不允许偏离的实质性要求和条件，以“▲”号标明。</w:t>
      </w:r>
    </w:p>
    <w:p w14:paraId="01603F03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</w:t>
      </w:r>
      <w:r>
        <w:rPr>
          <w:rFonts w:hint="eastAsia" w:ascii="仿宋" w:hAnsi="仿宋" w:eastAsia="仿宋" w:cs="仿宋_GB2312"/>
          <w:sz w:val="24"/>
        </w:rPr>
        <w:t>单</w:t>
      </w:r>
      <w:r>
        <w:rPr>
          <w:rFonts w:ascii="仿宋" w:hAnsi="仿宋" w:eastAsia="仿宋" w:cs="仿宋_GB2312"/>
          <w:sz w:val="24"/>
        </w:rPr>
        <w:t>一产品采购项目</w:t>
      </w:r>
      <w:r>
        <w:rPr>
          <w:rFonts w:hint="eastAsia" w:ascii="仿宋" w:hAnsi="仿宋" w:eastAsia="仿宋" w:cs="仿宋_GB2312"/>
          <w:sz w:val="24"/>
        </w:rPr>
        <w:t>中的该产品或者非</w:t>
      </w:r>
      <w:r>
        <w:rPr>
          <w:rFonts w:ascii="仿宋" w:hAnsi="仿宋" w:eastAsia="仿宋" w:cs="仿宋_GB2312"/>
          <w:sz w:val="24"/>
        </w:rPr>
        <w:t>单一产品采购项目</w:t>
      </w:r>
      <w:r>
        <w:rPr>
          <w:rFonts w:hint="eastAsia" w:ascii="仿宋" w:hAnsi="仿宋" w:eastAsia="仿宋" w:cs="仿宋_GB2312"/>
          <w:sz w:val="24"/>
        </w:rPr>
        <w:t>的核心产品，以</w:t>
      </w:r>
      <w:r>
        <w:rPr>
          <w:rFonts w:hint="eastAsia" w:ascii="仿宋" w:hAnsi="仿宋" w:eastAsia="仿宋"/>
          <w:sz w:val="24"/>
        </w:rPr>
        <w:t>“★”</w:t>
      </w:r>
      <w:r>
        <w:rPr>
          <w:rFonts w:hint="eastAsia" w:ascii="仿宋" w:hAnsi="仿宋" w:eastAsia="仿宋" w:cs="仿宋_GB2312"/>
          <w:sz w:val="24"/>
        </w:rPr>
        <w:t>标明。</w:t>
      </w:r>
    </w:p>
    <w:p w14:paraId="79AF83E7">
      <w:pPr>
        <w:spacing w:line="360" w:lineRule="auto"/>
        <w:ind w:firstLine="480" w:firstLineChars="200"/>
        <w:rPr>
          <w:rFonts w:hint="eastAsia" w:ascii="仿宋" w:hAnsi="仿宋" w:eastAsia="仿宋" w:cstheme="minorBidi"/>
          <w:snapToGrid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 w:cstheme="minorBidi"/>
          <w:snapToGrid/>
          <w:kern w:val="2"/>
          <w:sz w:val="24"/>
          <w:szCs w:val="24"/>
          <w:lang w:val="en-US" w:eastAsia="zh-CN" w:bidi="ar-SA"/>
        </w:rPr>
        <w:t>.本招标文件如涉及各类品牌、型号，则所述品牌、型号是结合实际现有情况的推荐性参考方案，投标方也可根据招标文件的要求提供性能相当或高于、服务条款相等或高于、符合招标方实际业务需求其它同档次优质品牌的产品参加投标。</w:t>
      </w:r>
    </w:p>
    <w:p w14:paraId="1C9CAB9F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1、货物清单：</w:t>
      </w:r>
    </w:p>
    <w:tbl>
      <w:tblPr>
        <w:tblStyle w:val="6"/>
        <w:tblW w:w="5151" w:type="pct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2832"/>
        <w:gridCol w:w="1499"/>
        <w:gridCol w:w="706"/>
        <w:gridCol w:w="849"/>
        <w:gridCol w:w="693"/>
        <w:gridCol w:w="1363"/>
      </w:tblGrid>
      <w:tr w14:paraId="19F61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4BFF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64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B406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项目内容</w:t>
            </w:r>
          </w:p>
        </w:tc>
        <w:tc>
          <w:tcPr>
            <w:tcW w:w="87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209D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技术参数</w:t>
            </w:r>
          </w:p>
        </w:tc>
        <w:tc>
          <w:tcPr>
            <w:tcW w:w="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277D6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期限</w:t>
            </w:r>
          </w:p>
        </w:tc>
        <w:tc>
          <w:tcPr>
            <w:tcW w:w="49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8829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数量</w:t>
            </w:r>
          </w:p>
        </w:tc>
        <w:tc>
          <w:tcPr>
            <w:tcW w:w="40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5EA5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79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CBFB6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 w14:paraId="5637A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37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6624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64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644F9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val="zh-CN"/>
              </w:rPr>
              <w:t>绍兴第二医院医共体总院污水处理药粉采购项目</w:t>
            </w:r>
          </w:p>
        </w:tc>
        <w:tc>
          <w:tcPr>
            <w:tcW w:w="87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B6B94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详见技术要求</w:t>
            </w:r>
          </w:p>
        </w:tc>
        <w:tc>
          <w:tcPr>
            <w:tcW w:w="41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42DBBD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两年</w:t>
            </w:r>
          </w:p>
        </w:tc>
        <w:tc>
          <w:tcPr>
            <w:tcW w:w="49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B5C0A3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</w:t>
            </w:r>
          </w:p>
        </w:tc>
        <w:tc>
          <w:tcPr>
            <w:tcW w:w="40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D15E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吨</w:t>
            </w:r>
          </w:p>
        </w:tc>
        <w:tc>
          <w:tcPr>
            <w:tcW w:w="79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C1009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为两年暂估用量</w:t>
            </w:r>
          </w:p>
        </w:tc>
      </w:tr>
    </w:tbl>
    <w:p w14:paraId="60A92237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注：</w:t>
      </w:r>
      <w:r>
        <w:rPr>
          <w:rFonts w:hint="eastAsia" w:ascii="仿宋" w:hAnsi="仿宋" w:eastAsia="仿宋" w:cs="仿宋_GB2312"/>
          <w:kern w:val="0"/>
          <w:sz w:val="24"/>
          <w:lang w:val="en-US" w:eastAsia="zh-CN"/>
        </w:rPr>
        <w:t>本项目期限和数量执行完毕，以先到为准。采购清单中的数量为协议约定期限内的订购数量的预测，而非承诺。采购人不承诺最低购买数量，实际采购数量有可能低于框架约定数量，最终以实际发出的采购订单采购的数量为准。本项目采购药粉将用于延安路院区和兰亭院区，现有延安路院区两年污水处理药粉用量为10吨；</w:t>
      </w:r>
      <w:r>
        <w:rPr>
          <w:rFonts w:hint="eastAsia" w:ascii="仿宋" w:hAnsi="仿宋" w:eastAsia="仿宋" w:cs="仿宋"/>
          <w:sz w:val="24"/>
        </w:rPr>
        <w:t>兰亭院区设计床位数为1200张，</w:t>
      </w:r>
      <w:r>
        <w:rPr>
          <w:rFonts w:hint="eastAsia" w:ascii="仿宋" w:hAnsi="仿宋" w:eastAsia="仿宋" w:cs="仿宋_GB2312"/>
          <w:kern w:val="0"/>
          <w:sz w:val="24"/>
          <w:lang w:val="en-US" w:eastAsia="zh-CN"/>
        </w:rPr>
        <w:t>将于2024年底开始逐步开放，</w:t>
      </w:r>
      <w:r>
        <w:rPr>
          <w:rFonts w:hint="eastAsia" w:ascii="仿宋" w:hAnsi="仿宋" w:eastAsia="仿宋" w:cs="仿宋"/>
          <w:sz w:val="24"/>
        </w:rPr>
        <w:t>请投标人参考以上数据合理报价</w:t>
      </w:r>
      <w:r>
        <w:rPr>
          <w:rFonts w:hint="eastAsia" w:ascii="仿宋" w:hAnsi="仿宋" w:eastAsia="仿宋" w:cs="仿宋_GB2312"/>
          <w:kern w:val="0"/>
          <w:sz w:val="24"/>
          <w:lang w:val="en-US" w:eastAsia="zh-CN"/>
        </w:rPr>
        <w:t>。</w:t>
      </w:r>
    </w:p>
    <w:p w14:paraId="37A7CAEB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2、技术</w:t>
      </w:r>
      <w:r>
        <w:rPr>
          <w:rFonts w:hint="eastAsia" w:ascii="仿宋" w:hAnsi="仿宋" w:eastAsia="仿宋" w:cs="仿宋"/>
          <w:sz w:val="24"/>
          <w:lang w:eastAsia="zh-CN"/>
        </w:rPr>
        <w:t>要求</w:t>
      </w:r>
      <w:r>
        <w:rPr>
          <w:rFonts w:hint="eastAsia" w:ascii="仿宋" w:hAnsi="仿宋" w:eastAsia="仿宋" w:cs="仿宋"/>
          <w:sz w:val="24"/>
        </w:rPr>
        <w:t>：</w:t>
      </w:r>
    </w:p>
    <w:p w14:paraId="46127CD7">
      <w:pPr>
        <w:snapToGrid w:val="0"/>
        <w:spacing w:line="42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  <w:szCs w:val="28"/>
        </w:rPr>
        <w:t>▲</w:t>
      </w:r>
      <w:r>
        <w:rPr>
          <w:rFonts w:hint="eastAsia" w:ascii="仿宋" w:hAnsi="仿宋" w:eastAsia="仿宋" w:cs="仿宋"/>
          <w:sz w:val="24"/>
        </w:rPr>
        <w:t>2.1</w:t>
      </w:r>
      <w:r>
        <w:rPr>
          <w:rFonts w:hint="eastAsia" w:ascii="仿宋" w:hAnsi="仿宋" w:eastAsia="仿宋" w:cs="仿宋_GB2312"/>
          <w:kern w:val="0"/>
          <w:sz w:val="24"/>
          <w:lang w:val="zh-CN"/>
        </w:rPr>
        <w:t>污水处理药粉</w:t>
      </w:r>
      <w:r>
        <w:rPr>
          <w:rFonts w:hint="eastAsia" w:ascii="仿宋" w:hAnsi="仿宋" w:eastAsia="仿宋" w:cs="仿宋"/>
          <w:sz w:val="24"/>
        </w:rPr>
        <w:t>主要成分和含量：单过硫酸氢钾复合或过一硫酸氢钾复盐≥</w:t>
      </w:r>
      <w:r>
        <w:rPr>
          <w:rFonts w:hint="eastAsia" w:ascii="仿宋" w:hAnsi="仿宋" w:eastAsia="仿宋" w:cs="仿宋"/>
          <w:sz w:val="24"/>
          <w:lang w:val="en-US" w:eastAsia="zh-CN"/>
        </w:rPr>
        <w:t>21</w:t>
      </w:r>
      <w:r>
        <w:rPr>
          <w:rFonts w:hint="eastAsia" w:ascii="仿宋" w:hAnsi="仿宋" w:eastAsia="仿宋" w:cs="仿宋"/>
          <w:sz w:val="24"/>
        </w:rPr>
        <w:t>％、有效氯含量指标≥</w:t>
      </w:r>
      <w:r>
        <w:rPr>
          <w:rFonts w:hint="eastAsia" w:ascii="仿宋" w:hAnsi="仿宋" w:eastAsia="仿宋" w:cs="仿宋"/>
          <w:sz w:val="24"/>
          <w:lang w:val="en-US" w:eastAsia="zh-CN"/>
        </w:rPr>
        <w:t>36</w:t>
      </w:r>
      <w:r>
        <w:rPr>
          <w:rFonts w:hint="eastAsia" w:ascii="仿宋" w:hAnsi="仿宋" w:eastAsia="仿宋" w:cs="仿宋"/>
          <w:sz w:val="24"/>
        </w:rPr>
        <w:t>%</w:t>
      </w:r>
      <w:r>
        <w:rPr>
          <w:rFonts w:hint="eastAsia" w:ascii="仿宋" w:hAnsi="仿宋" w:eastAsia="仿宋" w:cs="仿宋"/>
          <w:sz w:val="24"/>
          <w:lang w:eastAsia="zh-CN"/>
        </w:rPr>
        <w:t>、活性氧含量</w:t>
      </w:r>
      <w:r>
        <w:rPr>
          <w:rFonts w:hint="eastAsia" w:ascii="仿宋" w:hAnsi="仿宋" w:eastAsia="仿宋" w:cs="仿宋"/>
          <w:sz w:val="24"/>
        </w:rPr>
        <w:t>≥</w:t>
      </w:r>
      <w:r>
        <w:rPr>
          <w:rFonts w:hint="eastAsia" w:ascii="仿宋" w:hAnsi="仿宋" w:eastAsia="仿宋" w:cs="仿宋"/>
          <w:sz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</w:rPr>
        <w:t>%。</w:t>
      </w:r>
    </w:p>
    <w:p w14:paraId="4D6D0739">
      <w:pPr>
        <w:snapToGrid w:val="0"/>
        <w:spacing w:line="42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2.2活性氧消毒粉功效可杀灭化脓性细菌（以金黄色葡萄球菌为代表菌株，杀灭对数值≥5.0）、医院常见细菌繁殖体（以铜绿假单胞菌为代表菌株杀，杀灭对数值≥5.0）、细菌繁殖体中肠道菌（以大肠杆菌为代表菌株，杀灭对数值≥5.0）、细菌芽孢（以枯草杆菌黑色变种为代表菌株，杀灭对数值≥5.0）、致病性酵母（以白色念株菌为代表菌株，杀灭对数值≥4.0）</w:t>
      </w:r>
    </w:p>
    <w:p w14:paraId="22BBF9C8">
      <w:pPr>
        <w:snapToGrid w:val="0"/>
        <w:spacing w:line="42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2.3产品性状：白色粉剂。</w:t>
      </w:r>
    </w:p>
    <w:p w14:paraId="35BDA40B">
      <w:pPr>
        <w:tabs>
          <w:tab w:val="left" w:pos="554"/>
          <w:tab w:val="left" w:pos="831"/>
          <w:tab w:val="left" w:pos="1108"/>
        </w:tabs>
        <w:spacing w:line="46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2.4以上技术条款提出的是最低限度的技术要求，并未对一切技术细节作出规定，也未充分引述有关标准和规范的条文，投标人应提供符合工业标准的优质先进产品。</w:t>
      </w:r>
    </w:p>
    <w:p w14:paraId="1AA37F22">
      <w:pPr>
        <w:tabs>
          <w:tab w:val="left" w:pos="554"/>
          <w:tab w:val="left" w:pos="831"/>
          <w:tab w:val="left" w:pos="1108"/>
        </w:tabs>
        <w:spacing w:line="460" w:lineRule="exact"/>
        <w:ind w:firstLine="480" w:firstLineChars="200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▲</w:t>
      </w:r>
      <w:r>
        <w:rPr>
          <w:rFonts w:hint="eastAsia" w:ascii="仿宋" w:hAnsi="仿宋" w:eastAsia="仿宋" w:cs="仿宋"/>
          <w:sz w:val="24"/>
        </w:rPr>
        <w:t>2.5</w:t>
      </w:r>
      <w:r>
        <w:rPr>
          <w:rFonts w:hint="eastAsia" w:ascii="仿宋" w:hAnsi="仿宋" w:eastAsia="仿宋" w:cs="仿宋"/>
          <w:bCs/>
          <w:sz w:val="24"/>
        </w:rPr>
        <w:t>消毒粉需符合目前采购人在用的投药设备(具体污水处理自动投药设备需到采购人现场勘查)，若与采购人原先使用的消毒粉型号不一致，须在投标文件中明确兼容方案并承担所有费用。</w:t>
      </w:r>
    </w:p>
    <w:p w14:paraId="7388B56E">
      <w:pPr>
        <w:widowControl/>
        <w:snapToGrid w:val="0"/>
        <w:spacing w:line="360" w:lineRule="auto"/>
        <w:ind w:firstLine="480" w:firstLineChars="200"/>
        <w:rPr>
          <w:rFonts w:hint="eastAsia"/>
        </w:rPr>
      </w:pPr>
      <w:r>
        <w:rPr>
          <w:rFonts w:hint="eastAsia" w:ascii="仿宋" w:hAnsi="仿宋" w:eastAsia="仿宋" w:cs="仿宋"/>
          <w:bCs/>
          <w:sz w:val="24"/>
        </w:rPr>
        <w:t>▲</w:t>
      </w:r>
      <w:r>
        <w:rPr>
          <w:rFonts w:hint="eastAsia" w:ascii="仿宋" w:eastAsia="仿宋"/>
          <w:kern w:val="0"/>
          <w:sz w:val="24"/>
        </w:rPr>
        <w:t>2.6中标供应商为采购人免费提供技术培训与售后。在采购人使用中标供应商供货的活性氧消毒粉期间，</w:t>
      </w:r>
      <w:r>
        <w:rPr>
          <w:rFonts w:hint="eastAsia" w:ascii="仿宋" w:eastAsia="仿宋"/>
          <w:b/>
          <w:bCs/>
          <w:kern w:val="0"/>
          <w:sz w:val="24"/>
        </w:rPr>
        <w:t>中标供应商应承担配套设备的维保</w:t>
      </w:r>
      <w:r>
        <w:rPr>
          <w:rFonts w:hint="eastAsia" w:ascii="仿宋" w:eastAsia="仿宋"/>
          <w:b/>
          <w:bCs/>
          <w:kern w:val="0"/>
          <w:sz w:val="24"/>
          <w:lang w:eastAsia="zh-CN"/>
        </w:rPr>
        <w:t>；中标商每月须</w:t>
      </w:r>
      <w:r>
        <w:rPr>
          <w:rFonts w:hint="eastAsia" w:ascii="仿宋" w:eastAsia="仿宋"/>
          <w:b/>
          <w:bCs/>
          <w:kern w:val="0"/>
          <w:sz w:val="24"/>
        </w:rPr>
        <w:t>派专业人员指导采购人相关人员实施消毒剂的投放操作，消毒剂处理后污水处理站的出水符合《医疗机构水污染物排放标准》（GB18466-2005)，如未达到疾控及环保相关排放要求，其责任由供应商承担。</w:t>
      </w:r>
    </w:p>
    <w:p w14:paraId="1B507C31">
      <w:pPr>
        <w:numPr>
          <w:ilvl w:val="0"/>
          <w:numId w:val="0"/>
        </w:numPr>
        <w:rPr>
          <w:rFonts w:hint="default"/>
          <w:color w:val="FF000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YzBkYTJkMmYyNjIyYjczYWNiYWI5ZDRkMzYwM2EifQ=="/>
  </w:docVars>
  <w:rsids>
    <w:rsidRoot w:val="00000000"/>
    <w:rsid w:val="04115E30"/>
    <w:rsid w:val="0CFA1A3F"/>
    <w:rsid w:val="0DD2668E"/>
    <w:rsid w:val="0DF115D4"/>
    <w:rsid w:val="0F5372FC"/>
    <w:rsid w:val="108A4C7B"/>
    <w:rsid w:val="16BD34A4"/>
    <w:rsid w:val="1B4A3CA9"/>
    <w:rsid w:val="1D652F69"/>
    <w:rsid w:val="21DF3896"/>
    <w:rsid w:val="24AF7273"/>
    <w:rsid w:val="251E1D03"/>
    <w:rsid w:val="26230A5D"/>
    <w:rsid w:val="26505FC4"/>
    <w:rsid w:val="2CA3146B"/>
    <w:rsid w:val="2D417C91"/>
    <w:rsid w:val="2DBE5A8B"/>
    <w:rsid w:val="2DDB0161"/>
    <w:rsid w:val="2E70523B"/>
    <w:rsid w:val="34497927"/>
    <w:rsid w:val="36685FE4"/>
    <w:rsid w:val="376F6ABF"/>
    <w:rsid w:val="37C64260"/>
    <w:rsid w:val="3873781E"/>
    <w:rsid w:val="3BED3F27"/>
    <w:rsid w:val="3DA76630"/>
    <w:rsid w:val="3F9E50AA"/>
    <w:rsid w:val="44782D86"/>
    <w:rsid w:val="46454EEA"/>
    <w:rsid w:val="4A857FAB"/>
    <w:rsid w:val="4C9C32AA"/>
    <w:rsid w:val="4D293E8A"/>
    <w:rsid w:val="53C97707"/>
    <w:rsid w:val="56F92A04"/>
    <w:rsid w:val="5A6C4CE3"/>
    <w:rsid w:val="5BF20003"/>
    <w:rsid w:val="6418767D"/>
    <w:rsid w:val="66372A2B"/>
    <w:rsid w:val="692549DB"/>
    <w:rsid w:val="6BB9765C"/>
    <w:rsid w:val="70227EC6"/>
    <w:rsid w:val="72227D09"/>
    <w:rsid w:val="75930F1E"/>
    <w:rsid w:val="77C66E70"/>
    <w:rsid w:val="7B784E3E"/>
    <w:rsid w:val="7F23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3">
    <w:name w:val="Body Text First Indent"/>
    <w:basedOn w:val="2"/>
    <w:next w:val="1"/>
    <w:qFormat/>
    <w:uiPriority w:val="0"/>
    <w:pPr>
      <w:ind w:firstLine="420"/>
    </w:pPr>
    <w:rPr>
      <w:rFonts w:hAnsi="Times New Roman" w:cs="Times New Roman"/>
      <w:snapToGrid/>
      <w:szCs w:val="20"/>
    </w:rPr>
  </w:style>
  <w:style w:type="paragraph" w:styleId="4">
    <w:name w:val="Plain Text"/>
    <w:basedOn w:val="1"/>
    <w:qFormat/>
    <w:uiPriority w:val="0"/>
    <w:rPr>
      <w:rFonts w:ascii="宋体" w:hAnsi="Courier New" w:cs="Arial"/>
      <w:snapToGrid w:val="0"/>
      <w:szCs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paragraph" w:customStyle="1" w:styleId="10">
    <w:name w:val="Proposals body"/>
    <w:next w:val="1"/>
    <w:qFormat/>
    <w:uiPriority w:val="0"/>
    <w:pPr>
      <w:spacing w:line="360" w:lineRule="auto"/>
    </w:pPr>
    <w:rPr>
      <w:rFonts w:ascii="宋体" w:hAnsi="Times New Roman" w:eastAsia="宋体" w:cs="Times New Roman"/>
      <w:snapToGrid w:val="0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1405</Words>
  <Characters>1462</Characters>
  <Lines>0</Lines>
  <Paragraphs>0</Paragraphs>
  <TotalTime>2</TotalTime>
  <ScaleCrop>false</ScaleCrop>
  <LinksUpToDate>false</LinksUpToDate>
  <CharactersWithSpaces>1512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40335</dc:creator>
  <cp:lastModifiedBy>Huanghl</cp:lastModifiedBy>
  <dcterms:modified xsi:type="dcterms:W3CDTF">2024-10-24T08:44:42Z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09A8A1BA20214FAEB21514A0D20D83C1</vt:lpwstr>
  </property>
</Properties>
</file>