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color w:val="auto"/>
          <w:sz w:val="32"/>
          <w:szCs w:val="40"/>
          <w:highlight w:val="none"/>
        </w:rPr>
      </w:pPr>
      <w:r>
        <w:rPr>
          <w:rFonts w:hint="eastAsia" w:ascii="宋体" w:hAnsi="宋体"/>
          <w:color w:val="auto"/>
          <w:sz w:val="32"/>
          <w:szCs w:val="40"/>
          <w:highlight w:val="none"/>
        </w:rPr>
        <w:t>附件</w:t>
      </w:r>
      <w:r>
        <w:rPr>
          <w:rFonts w:hint="eastAsia" w:ascii="宋体" w:hAnsi="宋体"/>
          <w:color w:val="auto"/>
          <w:sz w:val="32"/>
          <w:szCs w:val="40"/>
          <w:highlight w:val="none"/>
          <w:lang w:eastAsia="zh-CN"/>
        </w:rPr>
        <w:t>四</w:t>
      </w:r>
      <w:r>
        <w:rPr>
          <w:rFonts w:hint="eastAsia" w:ascii="宋体" w:hAnsi="宋体"/>
          <w:color w:val="auto"/>
          <w:sz w:val="32"/>
          <w:szCs w:val="40"/>
          <w:highlight w:val="none"/>
        </w:rPr>
        <w:t>：绍兴第二医院医共体总院延安路院区绿化养护租摆服务项目报价表及报价清单</w:t>
      </w:r>
    </w:p>
    <w:p>
      <w:pPr>
        <w:spacing w:line="440" w:lineRule="exact"/>
        <w:rPr>
          <w:rFonts w:hint="eastAsia" w:ascii="宋体" w:hAnsi="宋体"/>
          <w:color w:val="auto"/>
          <w:highlight w:val="none"/>
        </w:rPr>
      </w:pPr>
    </w:p>
    <w:tbl>
      <w:tblPr>
        <w:tblStyle w:val="5"/>
        <w:tblW w:w="14745" w:type="dxa"/>
        <w:jc w:val="center"/>
        <w:tblLayout w:type="fixed"/>
        <w:tblCellMar>
          <w:top w:w="0" w:type="dxa"/>
          <w:left w:w="108" w:type="dxa"/>
          <w:bottom w:w="0" w:type="dxa"/>
          <w:right w:w="108" w:type="dxa"/>
        </w:tblCellMar>
      </w:tblPr>
      <w:tblGrid>
        <w:gridCol w:w="1115"/>
        <w:gridCol w:w="1176"/>
        <w:gridCol w:w="945"/>
        <w:gridCol w:w="1104"/>
        <w:gridCol w:w="1059"/>
        <w:gridCol w:w="1925"/>
        <w:gridCol w:w="1290"/>
        <w:gridCol w:w="945"/>
        <w:gridCol w:w="1197"/>
        <w:gridCol w:w="2475"/>
        <w:gridCol w:w="1514"/>
      </w:tblGrid>
      <w:tr>
        <w:tblPrEx>
          <w:tblCellMar>
            <w:top w:w="0" w:type="dxa"/>
            <w:left w:w="108" w:type="dxa"/>
            <w:bottom w:w="0" w:type="dxa"/>
            <w:right w:w="108" w:type="dxa"/>
          </w:tblCellMar>
        </w:tblPrEx>
        <w:trPr>
          <w:trHeight w:val="453" w:hRule="atLeast"/>
          <w:jc w:val="center"/>
        </w:trPr>
        <w:tc>
          <w:tcPr>
            <w:tcW w:w="14745"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㈠：养护部分报价</w:t>
            </w:r>
          </w:p>
        </w:tc>
      </w:tr>
      <w:tr>
        <w:tblPrEx>
          <w:tblCellMar>
            <w:top w:w="0" w:type="dxa"/>
            <w:left w:w="108" w:type="dxa"/>
            <w:bottom w:w="0" w:type="dxa"/>
            <w:right w:w="108" w:type="dxa"/>
          </w:tblCellMar>
        </w:tblPrEx>
        <w:trPr>
          <w:trHeight w:val="290" w:hRule="atLeast"/>
          <w:jc w:val="center"/>
        </w:trPr>
        <w:tc>
          <w:tcPr>
            <w:tcW w:w="11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w:t>
            </w:r>
          </w:p>
        </w:tc>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94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110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月单价（元/㎡）</w:t>
            </w:r>
          </w:p>
        </w:tc>
        <w:tc>
          <w:tcPr>
            <w:tcW w:w="105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月合价（元）</w:t>
            </w:r>
          </w:p>
        </w:tc>
        <w:tc>
          <w:tcPr>
            <w:tcW w:w="1925" w:type="dxa"/>
            <w:vMerge w:val="restart"/>
            <w:tcBorders>
              <w:top w:val="nil"/>
              <w:left w:val="single" w:color="auto" w:sz="4" w:space="0"/>
              <w:bottom w:val="single" w:color="auto" w:sz="4" w:space="0"/>
              <w:right w:val="single" w:color="auto" w:sz="4" w:space="0"/>
            </w:tcBorders>
            <w:noWrap w:val="0"/>
            <w:vAlign w:val="center"/>
          </w:tcPr>
          <w:p>
            <w:pPr>
              <w:widowControl/>
              <w:tabs>
                <w:tab w:val="left" w:pos="1483"/>
              </w:tabs>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养护期限</w:t>
            </w:r>
          </w:p>
        </w:tc>
        <w:tc>
          <w:tcPr>
            <w:tcW w:w="1290" w:type="dxa"/>
            <w:vMerge w:val="restart"/>
            <w:tcBorders>
              <w:top w:val="single" w:color="auto" w:sz="4" w:space="0"/>
              <w:left w:val="nil"/>
              <w:right w:val="single" w:color="auto" w:sz="4" w:space="0"/>
            </w:tcBorders>
            <w:noWrap w:val="0"/>
            <w:vAlign w:val="center"/>
          </w:tcPr>
          <w:p>
            <w:pPr>
              <w:widowControl/>
              <w:jc w:val="center"/>
              <w:rPr>
                <w:rFonts w:hint="eastAsia" w:ascii="宋体" w:hAnsi="宋体" w:eastAsia="宋体" w:cs="宋体"/>
                <w:color w:val="auto"/>
                <w:w w:val="80"/>
                <w:kern w:val="0"/>
                <w:szCs w:val="21"/>
                <w:highlight w:val="none"/>
              </w:rPr>
            </w:pPr>
            <w:r>
              <w:rPr>
                <w:rFonts w:hint="eastAsia" w:ascii="宋体" w:hAnsi="宋体" w:eastAsia="宋体" w:cs="宋体"/>
                <w:color w:val="auto"/>
                <w:kern w:val="0"/>
                <w:szCs w:val="21"/>
                <w:highlight w:val="none"/>
              </w:rPr>
              <w:t>合价（元）</w:t>
            </w:r>
          </w:p>
        </w:tc>
        <w:tc>
          <w:tcPr>
            <w:tcW w:w="945" w:type="dxa"/>
            <w:vMerge w:val="restart"/>
            <w:tcBorders>
              <w:top w:val="single" w:color="auto" w:sz="4" w:space="0"/>
              <w:left w:val="nil"/>
              <w:right w:val="single" w:color="auto" w:sz="4" w:space="0"/>
            </w:tcBorders>
            <w:noWrap w:val="0"/>
            <w:vAlign w:val="center"/>
          </w:tcPr>
          <w:p>
            <w:pPr>
              <w:widowControl/>
              <w:jc w:val="center"/>
              <w:rPr>
                <w:rFonts w:hint="eastAsia" w:ascii="宋体" w:hAnsi="宋体" w:eastAsia="宋体" w:cs="宋体"/>
                <w:color w:val="auto"/>
                <w:w w:val="80"/>
                <w:kern w:val="0"/>
                <w:szCs w:val="21"/>
                <w:highlight w:val="none"/>
              </w:rPr>
            </w:pPr>
            <w:r>
              <w:rPr>
                <w:rFonts w:hint="eastAsia" w:ascii="宋体" w:hAnsi="宋体" w:eastAsia="宋体" w:cs="宋体"/>
                <w:color w:val="auto"/>
                <w:w w:val="80"/>
                <w:kern w:val="0"/>
                <w:szCs w:val="21"/>
                <w:highlight w:val="none"/>
              </w:rPr>
              <w:t>备注1</w:t>
            </w:r>
          </w:p>
        </w:tc>
        <w:tc>
          <w:tcPr>
            <w:tcW w:w="3672"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w w:val="80"/>
                <w:kern w:val="0"/>
                <w:szCs w:val="21"/>
                <w:highlight w:val="none"/>
              </w:rPr>
              <w:t>备注2：月合价费用组成情况</w:t>
            </w:r>
          </w:p>
        </w:tc>
        <w:tc>
          <w:tcPr>
            <w:tcW w:w="1514"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备注3</w:t>
            </w:r>
          </w:p>
        </w:tc>
      </w:tr>
      <w:tr>
        <w:tblPrEx>
          <w:tblCellMar>
            <w:top w:w="0" w:type="dxa"/>
            <w:left w:w="108" w:type="dxa"/>
            <w:bottom w:w="0" w:type="dxa"/>
            <w:right w:w="108" w:type="dxa"/>
          </w:tblCellMar>
        </w:tblPrEx>
        <w:trPr>
          <w:trHeight w:val="124" w:hRule="atLeast"/>
          <w:jc w:val="center"/>
        </w:trPr>
        <w:tc>
          <w:tcPr>
            <w:tcW w:w="11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highlight w:val="none"/>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highlight w:val="none"/>
              </w:rPr>
            </w:pPr>
          </w:p>
        </w:tc>
        <w:tc>
          <w:tcPr>
            <w:tcW w:w="94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highlight w:val="none"/>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highlight w:val="none"/>
              </w:rPr>
            </w:pPr>
          </w:p>
        </w:tc>
        <w:tc>
          <w:tcPr>
            <w:tcW w:w="10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highlight w:val="none"/>
              </w:rPr>
            </w:pPr>
          </w:p>
        </w:tc>
        <w:tc>
          <w:tcPr>
            <w:tcW w:w="19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highlight w:val="none"/>
              </w:rPr>
            </w:pPr>
          </w:p>
        </w:tc>
        <w:tc>
          <w:tcPr>
            <w:tcW w:w="1290"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w w:val="70"/>
                <w:kern w:val="0"/>
                <w:szCs w:val="21"/>
                <w:highlight w:val="none"/>
              </w:rPr>
            </w:pPr>
          </w:p>
        </w:tc>
        <w:tc>
          <w:tcPr>
            <w:tcW w:w="945"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w w:val="70"/>
                <w:kern w:val="0"/>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w w:val="80"/>
                <w:kern w:val="0"/>
                <w:szCs w:val="21"/>
                <w:highlight w:val="none"/>
              </w:rPr>
            </w:pPr>
            <w:r>
              <w:rPr>
                <w:rFonts w:hint="eastAsia" w:ascii="宋体" w:hAnsi="宋体" w:eastAsia="宋体" w:cs="宋体"/>
                <w:color w:val="auto"/>
                <w:w w:val="80"/>
                <w:kern w:val="0"/>
                <w:szCs w:val="21"/>
                <w:highlight w:val="none"/>
              </w:rPr>
              <w:t>每月人员费用</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w w:val="70"/>
                <w:kern w:val="0"/>
                <w:szCs w:val="21"/>
                <w:highlight w:val="none"/>
              </w:rPr>
            </w:pPr>
            <w:r>
              <w:rPr>
                <w:rFonts w:hint="eastAsia" w:ascii="宋体" w:hAnsi="宋体" w:eastAsia="宋体" w:cs="宋体"/>
                <w:color w:val="auto"/>
                <w:w w:val="70"/>
                <w:kern w:val="0"/>
                <w:szCs w:val="21"/>
                <w:highlight w:val="none"/>
              </w:rPr>
              <w:t>每月其他费用</w:t>
            </w:r>
          </w:p>
        </w:tc>
        <w:tc>
          <w:tcPr>
            <w:tcW w:w="151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435" w:hRule="exac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bookmarkStart w:id="0" w:name="_GoBack" w:colFirst="8" w:colLast="8"/>
            <w:r>
              <w:rPr>
                <w:rFonts w:hint="eastAsia" w:ascii="宋体" w:hAnsi="宋体" w:eastAsia="宋体" w:cs="宋体"/>
                <w:color w:val="auto"/>
                <w:kern w:val="0"/>
                <w:szCs w:val="21"/>
                <w:highlight w:val="none"/>
              </w:rPr>
              <w:t>绿地养护</w:t>
            </w:r>
          </w:p>
        </w:tc>
        <w:tc>
          <w:tcPr>
            <w:tcW w:w="11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8890</w:t>
            </w:r>
          </w:p>
        </w:tc>
        <w:tc>
          <w:tcPr>
            <w:tcW w:w="9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10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12个月</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119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2475"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color w:val="auto"/>
                <w:kern w:val="0"/>
                <w:szCs w:val="21"/>
                <w:highlight w:val="none"/>
              </w:rPr>
            </w:pPr>
          </w:p>
        </w:tc>
        <w:tc>
          <w:tcPr>
            <w:tcW w:w="1514" w:type="dxa"/>
            <w:tcBorders>
              <w:top w:val="nil"/>
              <w:left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请合理填写，并充分考虑相关费用上涨因素。绿地养护包括乔木、灌木、草坪的养护及绿化带内卫生保洁。</w:t>
            </w:r>
          </w:p>
        </w:tc>
      </w:tr>
      <w:bookmarkEnd w:id="0"/>
      <w:tr>
        <w:tblPrEx>
          <w:tblCellMar>
            <w:top w:w="0" w:type="dxa"/>
            <w:left w:w="108" w:type="dxa"/>
            <w:bottom w:w="0" w:type="dxa"/>
            <w:right w:w="108" w:type="dxa"/>
          </w:tblCellMar>
        </w:tblPrEx>
        <w:trPr>
          <w:trHeight w:val="580"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rPr>
              <w:t>㈠</w:t>
            </w:r>
            <w:r>
              <w:rPr>
                <w:rFonts w:hint="eastAsia" w:ascii="宋体" w:hAnsi="宋体" w:eastAsia="宋体" w:cs="宋体"/>
                <w:color w:val="auto"/>
                <w:kern w:val="0"/>
                <w:szCs w:val="21"/>
                <w:highlight w:val="none"/>
              </w:rPr>
              <w:t>费用小计</w:t>
            </w:r>
          </w:p>
        </w:tc>
        <w:tc>
          <w:tcPr>
            <w:tcW w:w="13630" w:type="dxa"/>
            <w:gridSpan w:val="10"/>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元</w:t>
            </w:r>
          </w:p>
        </w:tc>
      </w:tr>
      <w:tr>
        <w:tblPrEx>
          <w:tblCellMar>
            <w:top w:w="0" w:type="dxa"/>
            <w:left w:w="108" w:type="dxa"/>
            <w:bottom w:w="0" w:type="dxa"/>
            <w:right w:w="108" w:type="dxa"/>
          </w:tblCellMar>
        </w:tblPrEx>
        <w:trPr>
          <w:trHeight w:val="516" w:hRule="atLeast"/>
          <w:jc w:val="center"/>
        </w:trPr>
        <w:tc>
          <w:tcPr>
            <w:tcW w:w="14745"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rPr>
              <w:t>（二）：绿化租摆报价</w:t>
            </w:r>
          </w:p>
        </w:tc>
      </w:tr>
      <w:tr>
        <w:tblPrEx>
          <w:tblCellMar>
            <w:top w:w="0" w:type="dxa"/>
            <w:left w:w="108" w:type="dxa"/>
            <w:bottom w:w="0" w:type="dxa"/>
            <w:right w:w="108" w:type="dxa"/>
          </w:tblCellMar>
        </w:tblPrEx>
        <w:trPr>
          <w:trHeight w:val="624" w:hRule="exac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类  型</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规格（cm）</w:t>
            </w:r>
          </w:p>
        </w:tc>
        <w:tc>
          <w:tcPr>
            <w:tcW w:w="3108"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品       种</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数  量</w:t>
            </w:r>
          </w:p>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（盆）</w:t>
            </w: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单  价</w:t>
            </w:r>
          </w:p>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（元/日）</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单  价</w:t>
            </w:r>
          </w:p>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（元/年）</w:t>
            </w:r>
          </w:p>
        </w:tc>
        <w:tc>
          <w:tcPr>
            <w:tcW w:w="39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1年合计报价：</w:t>
            </w:r>
          </w:p>
        </w:tc>
      </w:tr>
      <w:tr>
        <w:tblPrEx>
          <w:tblCellMar>
            <w:top w:w="0" w:type="dxa"/>
            <w:left w:w="108" w:type="dxa"/>
            <w:bottom w:w="0" w:type="dxa"/>
            <w:right w:w="108" w:type="dxa"/>
          </w:tblCellMar>
        </w:tblPrEx>
        <w:trPr>
          <w:trHeight w:val="665" w:hRule="exac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花卉</w:t>
            </w:r>
          </w:p>
        </w:tc>
        <w:tc>
          <w:tcPr>
            <w:tcW w:w="117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H60以下</w:t>
            </w:r>
          </w:p>
        </w:tc>
        <w:tc>
          <w:tcPr>
            <w:tcW w:w="3108" w:type="dxa"/>
            <w:gridSpan w:val="3"/>
            <w:tcBorders>
              <w:top w:val="nil"/>
              <w:left w:val="nil"/>
              <w:bottom w:val="single" w:color="auto" w:sz="4" w:space="0"/>
              <w:right w:val="single" w:color="auto" w:sz="4" w:space="0"/>
            </w:tcBorders>
            <w:noWrap w:val="0"/>
            <w:vAlign w:val="center"/>
          </w:tcPr>
          <w:p>
            <w:pPr>
              <w:widowControl/>
              <w:spacing w:line="280" w:lineRule="exact"/>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一品红、凤梨、红掌等</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lang w:val="en-US" w:eastAsia="zh-CN"/>
              </w:rPr>
              <w:t>8</w:t>
            </w:r>
            <w:r>
              <w:rPr>
                <w:rFonts w:hint="eastAsia" w:ascii="宋体" w:hAnsi="宋体" w:eastAsia="宋体" w:cs="宋体"/>
                <w:color w:val="auto"/>
                <w:kern w:val="0"/>
                <w:sz w:val="18"/>
                <w:highlight w:val="none"/>
              </w:rPr>
              <w:t>50</w:t>
            </w: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39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954" w:hRule="exact"/>
          <w:jc w:val="center"/>
        </w:trPr>
        <w:tc>
          <w:tcPr>
            <w:tcW w:w="1115"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sz w:val="18"/>
                <w:highlight w:val="none"/>
              </w:rPr>
              <w:t>观叶植物</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H60-80</w:t>
            </w:r>
          </w:p>
        </w:tc>
        <w:tc>
          <w:tcPr>
            <w:tcW w:w="3108" w:type="dxa"/>
            <w:gridSpan w:val="3"/>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龙须铁、也门铁、花叶万年青、白掌、罗文铁、绿巨人、一叶兰、白掌</w:t>
            </w:r>
          </w:p>
          <w:p>
            <w:pPr>
              <w:spacing w:line="280" w:lineRule="exact"/>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仙客来、杜鹃等</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5</w:t>
            </w:r>
            <w:r>
              <w:rPr>
                <w:rFonts w:hint="eastAsia" w:ascii="宋体" w:hAnsi="宋体" w:eastAsia="宋体" w:cs="宋体"/>
                <w:color w:val="auto"/>
                <w:kern w:val="0"/>
                <w:sz w:val="18"/>
                <w:highlight w:val="none"/>
                <w:lang w:val="en-US" w:eastAsia="zh-CN"/>
              </w:rPr>
              <w:t>5</w:t>
            </w:r>
            <w:r>
              <w:rPr>
                <w:rFonts w:hint="eastAsia" w:ascii="宋体" w:hAnsi="宋体" w:eastAsia="宋体" w:cs="宋体"/>
                <w:color w:val="auto"/>
                <w:kern w:val="0"/>
                <w:sz w:val="18"/>
                <w:highlight w:val="none"/>
              </w:rPr>
              <w:t>0</w:t>
            </w: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39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auto"/>
                <w:kern w:val="0"/>
                <w:szCs w:val="21"/>
                <w:highlight w:val="none"/>
              </w:rPr>
            </w:pPr>
          </w:p>
          <w:p>
            <w:pPr>
              <w:widowControl/>
              <w:spacing w:line="260" w:lineRule="exact"/>
              <w:jc w:val="center"/>
              <w:rPr>
                <w:rFonts w:hint="eastAsia" w:ascii="宋体" w:hAnsi="宋体" w:eastAsia="宋体" w:cs="宋体"/>
                <w:color w:val="auto"/>
                <w:kern w:val="0"/>
                <w:szCs w:val="21"/>
                <w:highlight w:val="none"/>
              </w:rPr>
            </w:pPr>
          </w:p>
          <w:p>
            <w:pPr>
              <w:widowControl/>
              <w:spacing w:line="260" w:lineRule="exac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925" w:hRule="exact"/>
          <w:jc w:val="center"/>
        </w:trPr>
        <w:tc>
          <w:tcPr>
            <w:tcW w:w="11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117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H120-150</w:t>
            </w:r>
          </w:p>
        </w:tc>
        <w:tc>
          <w:tcPr>
            <w:tcW w:w="3108" w:type="dxa"/>
            <w:gridSpan w:val="3"/>
            <w:tcBorders>
              <w:top w:val="nil"/>
              <w:left w:val="nil"/>
              <w:bottom w:val="single" w:color="auto" w:sz="4" w:space="0"/>
              <w:right w:val="single" w:color="auto" w:sz="4" w:space="0"/>
            </w:tcBorders>
            <w:noWrap w:val="0"/>
            <w:vAlign w:val="center"/>
          </w:tcPr>
          <w:p>
            <w:pPr>
              <w:widowControl/>
              <w:spacing w:line="280" w:lineRule="exact"/>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非洲茉莉、八叶木、棕竹、龙须铁、金钱树、大绿萝、金山棕、幸福树等</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lang w:val="en-US" w:eastAsia="zh-CN"/>
              </w:rPr>
              <w:t>5</w:t>
            </w:r>
            <w:r>
              <w:rPr>
                <w:rFonts w:hint="eastAsia" w:ascii="宋体" w:hAnsi="宋体" w:eastAsia="宋体" w:cs="宋体"/>
                <w:color w:val="auto"/>
                <w:kern w:val="0"/>
                <w:sz w:val="18"/>
                <w:highlight w:val="none"/>
              </w:rPr>
              <w:t>0</w:t>
            </w: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39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851" w:hRule="exact"/>
          <w:jc w:val="center"/>
        </w:trPr>
        <w:tc>
          <w:tcPr>
            <w:tcW w:w="11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117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H150-200</w:t>
            </w:r>
          </w:p>
        </w:tc>
        <w:tc>
          <w:tcPr>
            <w:tcW w:w="3108" w:type="dxa"/>
            <w:gridSpan w:val="3"/>
            <w:tcBorders>
              <w:top w:val="nil"/>
              <w:left w:val="nil"/>
              <w:bottom w:val="single" w:color="auto" w:sz="4" w:space="0"/>
              <w:right w:val="single" w:color="auto" w:sz="4" w:space="0"/>
            </w:tcBorders>
            <w:noWrap w:val="0"/>
            <w:vAlign w:val="center"/>
          </w:tcPr>
          <w:p>
            <w:pPr>
              <w:widowControl/>
              <w:spacing w:line="280" w:lineRule="exact"/>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幸福树、榕树、散尾葵等</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lang w:val="en-US" w:eastAsia="zh-CN"/>
              </w:rPr>
              <w:t>27</w:t>
            </w:r>
            <w:r>
              <w:rPr>
                <w:rFonts w:hint="eastAsia" w:ascii="宋体" w:hAnsi="宋体" w:eastAsia="宋体" w:cs="宋体"/>
                <w:color w:val="auto"/>
                <w:kern w:val="0"/>
                <w:sz w:val="18"/>
                <w:highlight w:val="none"/>
              </w:rPr>
              <w:t>0</w:t>
            </w: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39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934" w:hRule="exact"/>
          <w:jc w:val="center"/>
        </w:trPr>
        <w:tc>
          <w:tcPr>
            <w:tcW w:w="111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117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H250以上</w:t>
            </w:r>
          </w:p>
        </w:tc>
        <w:tc>
          <w:tcPr>
            <w:tcW w:w="3108" w:type="dxa"/>
            <w:gridSpan w:val="3"/>
            <w:tcBorders>
              <w:top w:val="nil"/>
              <w:left w:val="nil"/>
              <w:bottom w:val="single" w:color="auto" w:sz="4" w:space="0"/>
              <w:right w:val="single" w:color="auto" w:sz="4" w:space="0"/>
            </w:tcBorders>
            <w:noWrap w:val="0"/>
            <w:vAlign w:val="center"/>
          </w:tcPr>
          <w:p>
            <w:pPr>
              <w:widowControl/>
              <w:spacing w:line="280" w:lineRule="exact"/>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幸福树、榕树等</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lang w:val="en-US" w:eastAsia="zh-CN"/>
              </w:rPr>
              <w:t>4</w:t>
            </w:r>
            <w:r>
              <w:rPr>
                <w:rFonts w:hint="eastAsia" w:ascii="宋体" w:hAnsi="宋体" w:eastAsia="宋体" w:cs="宋体"/>
                <w:color w:val="auto"/>
                <w:kern w:val="0"/>
                <w:sz w:val="18"/>
                <w:highlight w:val="none"/>
              </w:rPr>
              <w:t>0</w:t>
            </w: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39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610" w:hRule="exact"/>
          <w:jc w:val="center"/>
        </w:trPr>
        <w:tc>
          <w:tcPr>
            <w:tcW w:w="1115" w:type="dxa"/>
            <w:tcBorders>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草花</w:t>
            </w:r>
          </w:p>
        </w:tc>
        <w:tc>
          <w:tcPr>
            <w:tcW w:w="117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蓬径20cm以上</w:t>
            </w:r>
          </w:p>
        </w:tc>
        <w:tc>
          <w:tcPr>
            <w:tcW w:w="3108" w:type="dxa"/>
            <w:gridSpan w:val="3"/>
            <w:tcBorders>
              <w:top w:val="nil"/>
              <w:left w:val="nil"/>
              <w:bottom w:val="single" w:color="auto" w:sz="4" w:space="0"/>
              <w:right w:val="single" w:color="auto" w:sz="4" w:space="0"/>
            </w:tcBorders>
            <w:noWrap w:val="0"/>
            <w:vAlign w:val="center"/>
          </w:tcPr>
          <w:p>
            <w:pPr>
              <w:widowControl/>
              <w:spacing w:line="280" w:lineRule="exact"/>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四季海棠、仙客来、瓜叶菊等</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270</w:t>
            </w: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p>
        </w:tc>
        <w:tc>
          <w:tcPr>
            <w:tcW w:w="39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94" w:hRule="atLeast"/>
          <w:jc w:val="center"/>
        </w:trPr>
        <w:tc>
          <w:tcPr>
            <w:tcW w:w="2291" w:type="dxa"/>
            <w:gridSpan w:val="2"/>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rPr>
              <w:t>（二）</w:t>
            </w:r>
            <w:r>
              <w:rPr>
                <w:rFonts w:hint="eastAsia" w:ascii="宋体" w:hAnsi="宋体" w:eastAsia="宋体" w:cs="宋体"/>
                <w:color w:val="auto"/>
                <w:kern w:val="0"/>
                <w:szCs w:val="21"/>
                <w:highlight w:val="none"/>
              </w:rPr>
              <w:t>费用小计</w:t>
            </w:r>
          </w:p>
        </w:tc>
        <w:tc>
          <w:tcPr>
            <w:tcW w:w="12454" w:type="dxa"/>
            <w:gridSpan w:val="9"/>
            <w:tcBorders>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元</w:t>
            </w:r>
          </w:p>
        </w:tc>
      </w:tr>
      <w:tr>
        <w:tblPrEx>
          <w:tblCellMar>
            <w:top w:w="0" w:type="dxa"/>
            <w:left w:w="108" w:type="dxa"/>
            <w:bottom w:w="0" w:type="dxa"/>
            <w:right w:w="108" w:type="dxa"/>
          </w:tblCellMar>
        </w:tblPrEx>
        <w:trPr>
          <w:trHeight w:val="598" w:hRule="atLeast"/>
          <w:jc w:val="center"/>
        </w:trPr>
        <w:tc>
          <w:tcPr>
            <w:tcW w:w="5399" w:type="dxa"/>
            <w:gridSpan w:val="5"/>
            <w:tcBorders>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总报价=费用（一）+（二）</w:t>
            </w:r>
          </w:p>
        </w:tc>
        <w:tc>
          <w:tcPr>
            <w:tcW w:w="9346" w:type="dxa"/>
            <w:gridSpan w:val="6"/>
            <w:tcBorders>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元</w:t>
            </w:r>
          </w:p>
        </w:tc>
      </w:tr>
    </w:tbl>
    <w:p>
      <w:pPr>
        <w:widowControl/>
        <w:spacing w:line="280" w:lineRule="exact"/>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说明：</w:t>
      </w:r>
    </w:p>
    <w:p>
      <w:pPr>
        <w:widowControl/>
        <w:spacing w:line="280" w:lineRule="exact"/>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lang w:val="en-US" w:eastAsia="zh-CN"/>
        </w:rPr>
        <w:t>1、</w:t>
      </w:r>
      <w:r>
        <w:rPr>
          <w:rFonts w:hint="eastAsia" w:ascii="宋体" w:hAnsi="宋体" w:eastAsia="宋体" w:cs="宋体"/>
          <w:color w:val="auto"/>
          <w:kern w:val="0"/>
          <w:sz w:val="18"/>
          <w:highlight w:val="none"/>
        </w:rPr>
        <w:t>此表主要由绿化养护部分和绿化租摆部分组成。2、绿地养护部分：月合价=数量×月单价；合价=月合价×养护期限；3、绿化租摆部分：1年合计报价=单价（元/年）×1年，单价（元/年）=单价（元/天）×365天，即一年按365天计；4、总报价价=绿化养护部分报价+绿化租摆部分报价。</w:t>
      </w:r>
    </w:p>
    <w:p>
      <w:pPr>
        <w:pStyle w:val="4"/>
        <w:ind w:firstLine="480"/>
        <w:rPr>
          <w:rFonts w:hint="eastAsia"/>
          <w:color w:val="auto"/>
          <w:highlight w:val="none"/>
        </w:rPr>
      </w:pPr>
    </w:p>
    <w:p>
      <w:pPr>
        <w:rPr>
          <w:rFonts w:hint="eastAsia" w:ascii="宋体" w:hAnsi="宋体"/>
          <w:color w:val="auto"/>
          <w:sz w:val="24"/>
          <w:highlight w:val="none"/>
        </w:rPr>
      </w:pPr>
      <w:r>
        <w:rPr>
          <w:rFonts w:hint="eastAsia" w:ascii="宋体" w:hAnsi="宋体"/>
          <w:color w:val="auto"/>
          <w:sz w:val="24"/>
          <w:highlight w:val="none"/>
        </w:rPr>
        <w:t>供应商（盖章）：                法定代表人或其委托代理人（签字或盖章）：</w:t>
      </w:r>
    </w:p>
    <w:p>
      <w:pPr>
        <w:ind w:right="33"/>
        <w:rPr>
          <w:rFonts w:hint="eastAsia" w:ascii="宋体" w:hAnsi="宋体"/>
          <w:color w:val="auto"/>
          <w:sz w:val="24"/>
          <w:highlight w:val="none"/>
        </w:rPr>
      </w:pPr>
    </w:p>
    <w:p>
      <w:pPr>
        <w:jc w:val="right"/>
        <w:rPr>
          <w:rFonts w:eastAsiaTheme="minorEastAsia"/>
          <w:vanish/>
          <w:sz w:val="21"/>
        </w:rPr>
      </w:pPr>
      <w:r>
        <w:rPr>
          <w:rFonts w:hint="eastAsia" w:ascii="宋体" w:hAnsi="宋体"/>
          <w:color w:val="auto"/>
          <w:sz w:val="24"/>
          <w:highlight w:val="none"/>
        </w:rPr>
        <w:t>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B0E91"/>
    <w:rsid w:val="2B2712DB"/>
    <w:rsid w:val="35065A07"/>
    <w:rsid w:val="3C30666C"/>
    <w:rsid w:val="3D3B62F2"/>
    <w:rsid w:val="475B0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spacing w:before="240" w:after="60"/>
      <w:jc w:val="center"/>
      <w:outlineLvl w:val="0"/>
    </w:pPr>
    <w:rPr>
      <w:rFonts w:ascii="Arial" w:hAnsi="Arial"/>
      <w:bCs/>
      <w:kern w:val="28"/>
      <w:sz w:val="4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line="380" w:lineRule="exact"/>
      <w:ind w:firstLine="480"/>
    </w:pPr>
    <w:rPr>
      <w:rFonts w:eastAsia="方正书宋简体"/>
      <w:sz w:val="20"/>
      <w:szCs w:val="20"/>
    </w:rPr>
  </w:style>
  <w:style w:type="paragraph" w:styleId="4">
    <w:name w:val="Body Text First Indent 2"/>
    <w:basedOn w:val="3"/>
    <w:qFormat/>
    <w:uiPriority w:val="0"/>
    <w:pPr>
      <w:tabs>
        <w:tab w:val="left" w:pos="0"/>
        <w:tab w:val="left" w:pos="993"/>
        <w:tab w:val="left" w:pos="1134"/>
      </w:tabs>
      <w:autoSpaceDE/>
      <w:autoSpaceDN/>
      <w:adjustRightInd/>
      <w:spacing w:line="360" w:lineRule="auto"/>
      <w:ind w:firstLine="420" w:firstLineChars="200"/>
    </w:pPr>
    <w:rPr>
      <w:rFonts w:ascii="Calibri" w:hAnsi="Calibri"/>
      <w:color w:val="auto"/>
      <w:kern w:val="2"/>
      <w:sz w:val="24"/>
      <w:szCs w:val="22"/>
    </w:rPr>
  </w:style>
  <w:style w:type="paragraph" w:customStyle="1" w:styleId="7">
    <w:name w:val="首行缩进"/>
    <w:basedOn w:val="1"/>
    <w:qFormat/>
    <w:uiPriority w:val="99"/>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2025-01-23T03:10:00Z</dcterms:created>
  <dc:creator>charming</dc:creator>
  <cp:lastModifiedBy>石文龙</cp:lastModifiedBy>
  <dcterms:modified xsi:type="dcterms:W3CDTF">2025-01-23T09:41:16Z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6BAE7EB3A21C42EF8BCD9C90691E388F</vt:lpwstr>
  </property>
</Properties>
</file>